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1AB11" w14:textId="7385949D" w:rsidR="00455012" w:rsidRPr="004B1267" w:rsidRDefault="00F306D9" w:rsidP="00893F0C">
      <w:pPr>
        <w:pStyle w:val="Typedudocument"/>
        <w:tabs>
          <w:tab w:val="left" w:pos="2580"/>
          <w:tab w:val="center" w:pos="4535"/>
        </w:tabs>
        <w:spacing w:before="0"/>
        <w:jc w:val="both"/>
      </w:pPr>
      <w:r>
        <w:t>Orientations stratégiques 2024-2029</w:t>
      </w:r>
      <w:r w:rsidR="007A2E7B">
        <w:t xml:space="preserve"> de l’ART</w:t>
      </w:r>
    </w:p>
    <w:p w14:paraId="6A96A93B" w14:textId="30E72E07" w:rsidR="008A385B" w:rsidRDefault="008A385B" w:rsidP="00893F0C">
      <w:pPr>
        <w:pStyle w:val="Typedudocument"/>
        <w:tabs>
          <w:tab w:val="left" w:pos="2580"/>
          <w:tab w:val="center" w:pos="4535"/>
        </w:tabs>
        <w:spacing w:before="0"/>
        <w:jc w:val="both"/>
        <w:rPr>
          <w:b w:val="0"/>
          <w:bCs w:val="0"/>
        </w:rPr>
      </w:pPr>
    </w:p>
    <w:p w14:paraId="2FDD841B" w14:textId="755672B0" w:rsidR="008A385B" w:rsidRDefault="00F306D9" w:rsidP="00893F0C">
      <w:pPr>
        <w:pStyle w:val="Typedudocument"/>
        <w:tabs>
          <w:tab w:val="left" w:pos="2580"/>
          <w:tab w:val="center" w:pos="4535"/>
        </w:tabs>
        <w:spacing w:before="0"/>
        <w:jc w:val="both"/>
        <w:rPr>
          <w:b w:val="0"/>
          <w:bCs w:val="0"/>
        </w:rPr>
      </w:pPr>
      <w:r>
        <w:rPr>
          <w:b w:val="0"/>
          <w:bCs w:val="0"/>
        </w:rPr>
        <w:t>Consultation publique</w:t>
      </w:r>
    </w:p>
    <w:p w14:paraId="107AC426" w14:textId="50C3A32C" w:rsidR="007A2E7B" w:rsidRDefault="007A2E7B" w:rsidP="00893F0C">
      <w:pPr>
        <w:pStyle w:val="Typedudocument"/>
        <w:tabs>
          <w:tab w:val="left" w:pos="2580"/>
          <w:tab w:val="center" w:pos="4535"/>
        </w:tabs>
        <w:spacing w:before="0"/>
        <w:jc w:val="both"/>
        <w:rPr>
          <w:b w:val="0"/>
          <w:bCs w:val="0"/>
        </w:rPr>
      </w:pPr>
    </w:p>
    <w:p w14:paraId="7C579FC1" w14:textId="04B1F6B9" w:rsidR="007A2E7B" w:rsidRPr="00985F20" w:rsidRDefault="003B0680" w:rsidP="00893F0C">
      <w:pPr>
        <w:pStyle w:val="Typedudocument"/>
        <w:tabs>
          <w:tab w:val="left" w:pos="2580"/>
          <w:tab w:val="center" w:pos="4535"/>
        </w:tabs>
        <w:spacing w:before="0"/>
        <w:jc w:val="both"/>
        <w:rPr>
          <w:b w:val="0"/>
          <w:bCs w:val="0"/>
        </w:rPr>
      </w:pPr>
      <w:r w:rsidRPr="003B0680">
        <w:rPr>
          <w:b w:val="0"/>
          <w:bCs w:val="0"/>
        </w:rPr>
        <w:t>1</w:t>
      </w:r>
      <w:r w:rsidR="00885A0B">
        <w:rPr>
          <w:b w:val="0"/>
          <w:bCs w:val="0"/>
        </w:rPr>
        <w:t>8</w:t>
      </w:r>
      <w:r w:rsidR="007A2E7B" w:rsidRPr="003B0680">
        <w:rPr>
          <w:b w:val="0"/>
        </w:rPr>
        <w:t xml:space="preserve"> janvier 2024</w:t>
      </w:r>
      <w:r w:rsidRPr="003B0680">
        <w:rPr>
          <w:b w:val="0"/>
          <w:bCs w:val="0"/>
        </w:rPr>
        <w:t xml:space="preserve"> </w:t>
      </w:r>
      <w:r w:rsidR="007A2E7B" w:rsidRPr="003B0680">
        <w:rPr>
          <w:b w:val="0"/>
          <w:bCs w:val="0"/>
        </w:rPr>
        <w:t xml:space="preserve">– </w:t>
      </w:r>
      <w:r w:rsidR="001D5570">
        <w:rPr>
          <w:b w:val="0"/>
          <w:bCs w:val="0"/>
        </w:rPr>
        <w:t>10</w:t>
      </w:r>
      <w:r w:rsidRPr="003B0680">
        <w:rPr>
          <w:b w:val="0"/>
          <w:bCs w:val="0"/>
        </w:rPr>
        <w:t xml:space="preserve"> février 2024</w:t>
      </w:r>
    </w:p>
    <w:p w14:paraId="3D3F3ED7" w14:textId="77777777" w:rsidR="005F3870" w:rsidRPr="00FC0908" w:rsidRDefault="005F3870" w:rsidP="005F3870">
      <w:pPr>
        <w:pBdr>
          <w:bottom w:val="single" w:sz="4" w:space="1" w:color="263561"/>
        </w:pBdr>
        <w:tabs>
          <w:tab w:val="left" w:pos="2803"/>
        </w:tabs>
      </w:pPr>
    </w:p>
    <w:p w14:paraId="5B45067B" w14:textId="77777777" w:rsidR="005369D8" w:rsidRPr="005369D8" w:rsidRDefault="005369D8" w:rsidP="005369D8">
      <w:pPr>
        <w:rPr>
          <w:b/>
          <w:bCs/>
        </w:rPr>
      </w:pPr>
      <w:r w:rsidRPr="005369D8">
        <w:rPr>
          <w:b/>
          <w:bCs/>
        </w:rPr>
        <w:t>Objet de la présente consultation publique :</w:t>
      </w:r>
    </w:p>
    <w:p w14:paraId="02169147" w14:textId="7981C7D9" w:rsidR="005369D8" w:rsidRPr="005369D8" w:rsidRDefault="005369D8" w:rsidP="005369D8">
      <w:pPr>
        <w:rPr>
          <w:rFonts w:eastAsia="Calibri"/>
        </w:rPr>
      </w:pPr>
      <w:r w:rsidRPr="005369D8">
        <w:rPr>
          <w:rFonts w:eastAsia="Calibri"/>
        </w:rPr>
        <w:t xml:space="preserve">La présente consultation publique </w:t>
      </w:r>
      <w:r w:rsidR="00380816">
        <w:t>s’inscrit dans le cadre de l’élaboration par l’Autorité de Régulation des Transports (ART) de ses orientations stratégiques pour les années 2024 à 202</w:t>
      </w:r>
      <w:r w:rsidR="00477692">
        <w:t>9. Elle</w:t>
      </w:r>
      <w:r w:rsidR="00380816">
        <w:t xml:space="preserve"> </w:t>
      </w:r>
      <w:r w:rsidR="00C05DAA">
        <w:rPr>
          <w:rFonts w:eastAsia="Calibri"/>
        </w:rPr>
        <w:t>a pour objet de recueillir les observations des</w:t>
      </w:r>
      <w:r w:rsidRPr="005369D8">
        <w:rPr>
          <w:rFonts w:eastAsia="Calibri"/>
        </w:rPr>
        <w:t xml:space="preserve"> acteurs du secteur des transports sur le bilan et les priorités à venir de </w:t>
      </w:r>
      <w:r w:rsidR="00380816">
        <w:rPr>
          <w:rFonts w:eastAsia="Calibri"/>
        </w:rPr>
        <w:t xml:space="preserve">cette dernière. </w:t>
      </w:r>
      <w:r w:rsidRPr="005369D8">
        <w:rPr>
          <w:rFonts w:eastAsia="Calibri"/>
        </w:rPr>
        <w:t xml:space="preserve">Elle est ouverte </w:t>
      </w:r>
      <w:r w:rsidR="002325E3">
        <w:rPr>
          <w:rFonts w:eastAsia="Calibri"/>
        </w:rPr>
        <w:t xml:space="preserve">à tous et publiée sur le site Internet de </w:t>
      </w:r>
      <w:r w:rsidR="00477692">
        <w:rPr>
          <w:rFonts w:eastAsia="Calibri"/>
        </w:rPr>
        <w:t>l’ART</w:t>
      </w:r>
      <w:r w:rsidR="002325E3">
        <w:rPr>
          <w:rFonts w:eastAsia="Calibri"/>
        </w:rPr>
        <w:t>.</w:t>
      </w:r>
    </w:p>
    <w:p w14:paraId="36CFF62F" w14:textId="77777777" w:rsidR="005369D8" w:rsidRDefault="005369D8" w:rsidP="005369D8">
      <w:pPr>
        <w:rPr>
          <w:b/>
          <w:bCs/>
        </w:rPr>
      </w:pPr>
      <w:r>
        <w:rPr>
          <w:b/>
          <w:bCs/>
        </w:rPr>
        <w:t>Période de consultation publique :</w:t>
      </w:r>
    </w:p>
    <w:p w14:paraId="000DFC78" w14:textId="26A66538" w:rsidR="006C515E" w:rsidRPr="005369D8" w:rsidRDefault="005369D8" w:rsidP="005369D8">
      <w:r w:rsidRPr="005369D8">
        <w:t>La pré</w:t>
      </w:r>
      <w:r>
        <w:t>sente consultation publique est ouverte du 1</w:t>
      </w:r>
      <w:r w:rsidR="00151ED7">
        <w:t>8</w:t>
      </w:r>
      <w:r>
        <w:t xml:space="preserve"> janvier 2024 au 10 février 2024.</w:t>
      </w:r>
    </w:p>
    <w:p w14:paraId="7F142B9B" w14:textId="77777777" w:rsidR="005369D8" w:rsidRPr="005369D8" w:rsidRDefault="005369D8" w:rsidP="005369D8">
      <w:pPr>
        <w:rPr>
          <w:b/>
          <w:bCs/>
        </w:rPr>
      </w:pPr>
      <w:r>
        <w:rPr>
          <w:b/>
          <w:bCs/>
        </w:rPr>
        <w:t xml:space="preserve">Transmission des contributions </w:t>
      </w:r>
      <w:r w:rsidRPr="005369D8">
        <w:rPr>
          <w:b/>
          <w:bCs/>
        </w:rPr>
        <w:t>:</w:t>
      </w:r>
    </w:p>
    <w:p w14:paraId="2199E6B0" w14:textId="28800CE4" w:rsidR="00A2684C" w:rsidRDefault="007A2E7B" w:rsidP="007A2E7B">
      <w:r w:rsidRPr="007A2E7B">
        <w:t>Les contributions sont à transmettre de préférence par courrier électronique à l’adresse suivante</w:t>
      </w:r>
      <w:r w:rsidR="00F03ACF">
        <w:t> </w:t>
      </w:r>
      <w:r w:rsidRPr="007A2E7B">
        <w:t xml:space="preserve">: </w:t>
      </w:r>
      <w:hyperlink r:id="rId11" w:history="1">
        <w:r w:rsidR="00477692" w:rsidRPr="007A3349">
          <w:rPr>
            <w:rStyle w:val="Lienhypertexte"/>
          </w:rPr>
          <w:t>consultation.publique@autorite-transports.fr</w:t>
        </w:r>
      </w:hyperlink>
      <w:r w:rsidRPr="00477692">
        <w:t>.</w:t>
      </w:r>
    </w:p>
    <w:p w14:paraId="271BF06A" w14:textId="01745C98" w:rsidR="009917C7" w:rsidRPr="00985F20" w:rsidRDefault="009917C7" w:rsidP="007A2E7B">
      <w:r>
        <w:rPr>
          <w:rStyle w:val="ui-provider"/>
        </w:rPr>
        <w:t xml:space="preserve">Dans l’hypothèse où </w:t>
      </w:r>
      <w:r w:rsidR="0065353E">
        <w:rPr>
          <w:rStyle w:val="ui-provider"/>
        </w:rPr>
        <w:t>l’ART</w:t>
      </w:r>
      <w:r>
        <w:rPr>
          <w:rStyle w:val="ui-provider"/>
        </w:rPr>
        <w:t xml:space="preserve"> décide</w:t>
      </w:r>
      <w:r w:rsidR="00C05DAA">
        <w:rPr>
          <w:rStyle w:val="ui-provider"/>
        </w:rPr>
        <w:t>rait</w:t>
      </w:r>
      <w:r>
        <w:rPr>
          <w:rStyle w:val="ui-provider"/>
        </w:rPr>
        <w:t xml:space="preserve"> de publier les réponses à la consultation publique, ou une synthèse de ces dernières, </w:t>
      </w:r>
      <w:r w:rsidR="00C05DAA">
        <w:rPr>
          <w:rStyle w:val="ui-provider"/>
        </w:rPr>
        <w:t>c</w:t>
      </w:r>
      <w:r>
        <w:rPr>
          <w:rStyle w:val="ui-provider"/>
        </w:rPr>
        <w:t xml:space="preserve">es </w:t>
      </w:r>
      <w:r w:rsidR="00C05DAA">
        <w:rPr>
          <w:rStyle w:val="ui-provider"/>
        </w:rPr>
        <w:t xml:space="preserve">réponses </w:t>
      </w:r>
      <w:r>
        <w:rPr>
          <w:rStyle w:val="ui-provider"/>
        </w:rPr>
        <w:t>seront anonymisé</w:t>
      </w:r>
      <w:r w:rsidR="00C05DAA">
        <w:rPr>
          <w:rStyle w:val="ui-provider"/>
        </w:rPr>
        <w:t>e</w:t>
      </w:r>
      <w:r>
        <w:rPr>
          <w:rStyle w:val="ui-provider"/>
        </w:rPr>
        <w:t xml:space="preserve">s. En outre, </w:t>
      </w:r>
      <w:r w:rsidR="00C05DAA">
        <w:rPr>
          <w:rStyle w:val="ui-provider"/>
        </w:rPr>
        <w:t>l</w:t>
      </w:r>
      <w:r>
        <w:rPr>
          <w:rStyle w:val="ui-provider"/>
        </w:rPr>
        <w:t xml:space="preserve">es </w:t>
      </w:r>
      <w:r w:rsidR="00C05DAA">
        <w:rPr>
          <w:rStyle w:val="ui-provider"/>
        </w:rPr>
        <w:t xml:space="preserve">contributeurs </w:t>
      </w:r>
      <w:r>
        <w:rPr>
          <w:rStyle w:val="ui-provider"/>
        </w:rPr>
        <w:t>sont invités à mentionner les passages qu’ils souhaitent garder confidentiels, ainsi que les éléments qu’ils considèrent couverts par un secret protégé par la loi.</w:t>
      </w:r>
    </w:p>
    <w:p w14:paraId="1C36CFAE" w14:textId="77777777" w:rsidR="00A2684C" w:rsidRPr="00FC0908" w:rsidRDefault="00A2684C" w:rsidP="005F3870">
      <w:pPr>
        <w:pBdr>
          <w:bottom w:val="single" w:sz="4" w:space="1" w:color="263561"/>
        </w:pBdr>
      </w:pPr>
    </w:p>
    <w:p w14:paraId="1E07F313" w14:textId="77777777" w:rsidR="004F719A" w:rsidRDefault="004F719A">
      <w:pPr>
        <w:spacing w:before="0" w:after="0" w:line="280" w:lineRule="atLeast"/>
        <w:jc w:val="left"/>
      </w:pPr>
      <w:r>
        <w:br w:type="page"/>
      </w:r>
    </w:p>
    <w:p w14:paraId="330157A5" w14:textId="77777777" w:rsidR="004F719A" w:rsidRPr="005F3870" w:rsidRDefault="004F719A" w:rsidP="004F719A">
      <w:pPr>
        <w:pStyle w:val="Titre"/>
        <w:spacing w:after="360"/>
        <w:jc w:val="center"/>
        <w:rPr>
          <w:b/>
          <w:bCs/>
        </w:rPr>
      </w:pPr>
      <w:r w:rsidRPr="005F3870">
        <w:rPr>
          <w:b/>
          <w:bCs/>
        </w:rPr>
        <w:lastRenderedPageBreak/>
        <w:t>SOMMAIRE</w:t>
      </w:r>
    </w:p>
    <w:p w14:paraId="6550DFE3" w14:textId="22A557D4" w:rsidR="00B657BC" w:rsidRDefault="004F719A">
      <w:pPr>
        <w:pStyle w:val="TM1"/>
        <w:rPr>
          <w:rFonts w:asciiTheme="minorHAnsi" w:eastAsiaTheme="minorEastAsia" w:hAnsiTheme="minorHAnsi" w:cstheme="minorBidi"/>
          <w:b w:val="0"/>
          <w:caps w:val="0"/>
          <w:noProof/>
          <w:color w:val="auto"/>
          <w:sz w:val="22"/>
          <w:szCs w:val="22"/>
        </w:rPr>
      </w:pPr>
      <w:r>
        <w:fldChar w:fldCharType="begin"/>
      </w:r>
      <w:r>
        <w:instrText xml:space="preserve"> TOC \o "1-4" \h \z \u </w:instrText>
      </w:r>
      <w:r>
        <w:fldChar w:fldCharType="separate"/>
      </w:r>
      <w:hyperlink w:anchor="_Toc156394033" w:history="1">
        <w:r w:rsidR="00B657BC" w:rsidRPr="006018F8">
          <w:rPr>
            <w:rStyle w:val="Lienhypertexte"/>
            <w:noProof/>
          </w:rPr>
          <w:t>1. Contexte et objectifs de la présente consultation publique</w:t>
        </w:r>
        <w:r w:rsidR="00B657BC">
          <w:rPr>
            <w:noProof/>
            <w:webHidden/>
          </w:rPr>
          <w:tab/>
        </w:r>
        <w:r w:rsidR="00B657BC">
          <w:rPr>
            <w:noProof/>
            <w:webHidden/>
          </w:rPr>
          <w:fldChar w:fldCharType="begin"/>
        </w:r>
        <w:r w:rsidR="00B657BC">
          <w:rPr>
            <w:noProof/>
            <w:webHidden/>
          </w:rPr>
          <w:instrText xml:space="preserve"> PAGEREF _Toc156394033 \h </w:instrText>
        </w:r>
        <w:r w:rsidR="00B657BC">
          <w:rPr>
            <w:noProof/>
            <w:webHidden/>
          </w:rPr>
        </w:r>
        <w:r w:rsidR="00B657BC">
          <w:rPr>
            <w:noProof/>
            <w:webHidden/>
          </w:rPr>
          <w:fldChar w:fldCharType="separate"/>
        </w:r>
        <w:r w:rsidR="00B657BC">
          <w:rPr>
            <w:noProof/>
            <w:webHidden/>
          </w:rPr>
          <w:t>3</w:t>
        </w:r>
        <w:r w:rsidR="00B657BC">
          <w:rPr>
            <w:noProof/>
            <w:webHidden/>
          </w:rPr>
          <w:fldChar w:fldCharType="end"/>
        </w:r>
      </w:hyperlink>
    </w:p>
    <w:p w14:paraId="6AA9FAA1" w14:textId="2D65DF95" w:rsidR="00B657BC" w:rsidRDefault="00000000">
      <w:pPr>
        <w:pStyle w:val="TM1"/>
        <w:rPr>
          <w:rFonts w:asciiTheme="minorHAnsi" w:eastAsiaTheme="minorEastAsia" w:hAnsiTheme="minorHAnsi" w:cstheme="minorBidi"/>
          <w:b w:val="0"/>
          <w:caps w:val="0"/>
          <w:noProof/>
          <w:color w:val="auto"/>
          <w:sz w:val="22"/>
          <w:szCs w:val="22"/>
        </w:rPr>
      </w:pPr>
      <w:hyperlink w:anchor="_Toc156394034" w:history="1">
        <w:r w:rsidR="00B657BC" w:rsidRPr="006018F8">
          <w:rPr>
            <w:rStyle w:val="Lienhypertexte"/>
            <w:noProof/>
          </w:rPr>
          <w:t>2. Questions aux parties prenantes : quels futurs possibles pour l’action de l’art ?</w:t>
        </w:r>
        <w:r w:rsidR="00B657BC">
          <w:rPr>
            <w:noProof/>
            <w:webHidden/>
          </w:rPr>
          <w:tab/>
        </w:r>
        <w:r w:rsidR="00B657BC">
          <w:rPr>
            <w:noProof/>
            <w:webHidden/>
          </w:rPr>
          <w:fldChar w:fldCharType="begin"/>
        </w:r>
        <w:r w:rsidR="00B657BC">
          <w:rPr>
            <w:noProof/>
            <w:webHidden/>
          </w:rPr>
          <w:instrText xml:space="preserve"> PAGEREF _Toc156394034 \h </w:instrText>
        </w:r>
        <w:r w:rsidR="00B657BC">
          <w:rPr>
            <w:noProof/>
            <w:webHidden/>
          </w:rPr>
        </w:r>
        <w:r w:rsidR="00B657BC">
          <w:rPr>
            <w:noProof/>
            <w:webHidden/>
          </w:rPr>
          <w:fldChar w:fldCharType="separate"/>
        </w:r>
        <w:r w:rsidR="00B657BC">
          <w:rPr>
            <w:noProof/>
            <w:webHidden/>
          </w:rPr>
          <w:t>5</w:t>
        </w:r>
        <w:r w:rsidR="00B657BC">
          <w:rPr>
            <w:noProof/>
            <w:webHidden/>
          </w:rPr>
          <w:fldChar w:fldCharType="end"/>
        </w:r>
      </w:hyperlink>
    </w:p>
    <w:p w14:paraId="1600D34C" w14:textId="68F49C5B" w:rsidR="00B657BC" w:rsidRDefault="00000000">
      <w:pPr>
        <w:pStyle w:val="TM1"/>
        <w:rPr>
          <w:rFonts w:asciiTheme="minorHAnsi" w:eastAsiaTheme="minorEastAsia" w:hAnsiTheme="minorHAnsi" w:cstheme="minorBidi"/>
          <w:b w:val="0"/>
          <w:caps w:val="0"/>
          <w:noProof/>
          <w:color w:val="auto"/>
          <w:sz w:val="22"/>
          <w:szCs w:val="22"/>
        </w:rPr>
      </w:pPr>
      <w:hyperlink w:anchor="_Toc156394035" w:history="1">
        <w:r w:rsidR="00B657BC" w:rsidRPr="006018F8">
          <w:rPr>
            <w:rStyle w:val="Lienhypertexte"/>
            <w:noProof/>
          </w:rPr>
          <w:t>3. Elements de bilan sur le rôle et l’action passée de l’ART</w:t>
        </w:r>
        <w:r w:rsidR="00B657BC">
          <w:rPr>
            <w:noProof/>
            <w:webHidden/>
          </w:rPr>
          <w:tab/>
        </w:r>
        <w:r w:rsidR="00B657BC">
          <w:rPr>
            <w:noProof/>
            <w:webHidden/>
          </w:rPr>
          <w:fldChar w:fldCharType="begin"/>
        </w:r>
        <w:r w:rsidR="00B657BC">
          <w:rPr>
            <w:noProof/>
            <w:webHidden/>
          </w:rPr>
          <w:instrText xml:space="preserve"> PAGEREF _Toc156394035 \h </w:instrText>
        </w:r>
        <w:r w:rsidR="00B657BC">
          <w:rPr>
            <w:noProof/>
            <w:webHidden/>
          </w:rPr>
        </w:r>
        <w:r w:rsidR="00B657BC">
          <w:rPr>
            <w:noProof/>
            <w:webHidden/>
          </w:rPr>
          <w:fldChar w:fldCharType="separate"/>
        </w:r>
        <w:r w:rsidR="00B657BC">
          <w:rPr>
            <w:noProof/>
            <w:webHidden/>
          </w:rPr>
          <w:t>7</w:t>
        </w:r>
        <w:r w:rsidR="00B657BC">
          <w:rPr>
            <w:noProof/>
            <w:webHidden/>
          </w:rPr>
          <w:fldChar w:fldCharType="end"/>
        </w:r>
      </w:hyperlink>
    </w:p>
    <w:p w14:paraId="38B6D829" w14:textId="7639DA53" w:rsidR="00B657BC" w:rsidRDefault="00000000">
      <w:pPr>
        <w:pStyle w:val="TM2"/>
        <w:rPr>
          <w:rFonts w:asciiTheme="minorHAnsi" w:eastAsiaTheme="minorEastAsia" w:hAnsiTheme="minorHAnsi" w:cstheme="minorBidi"/>
          <w:noProof/>
          <w:color w:val="auto"/>
          <w:sz w:val="22"/>
          <w:szCs w:val="22"/>
        </w:rPr>
      </w:pPr>
      <w:hyperlink w:anchor="_Toc156394036" w:history="1">
        <w:r w:rsidR="00B657BC" w:rsidRPr="006018F8">
          <w:rPr>
            <w:rStyle w:val="Lienhypertexte"/>
            <w:noProof/>
          </w:rPr>
          <w:t>3.1. Une Autorité, six secteurs régulés</w:t>
        </w:r>
        <w:r w:rsidR="00B657BC">
          <w:rPr>
            <w:noProof/>
            <w:webHidden/>
          </w:rPr>
          <w:tab/>
        </w:r>
        <w:r w:rsidR="00B657BC">
          <w:rPr>
            <w:noProof/>
            <w:webHidden/>
          </w:rPr>
          <w:fldChar w:fldCharType="begin"/>
        </w:r>
        <w:r w:rsidR="00B657BC">
          <w:rPr>
            <w:noProof/>
            <w:webHidden/>
          </w:rPr>
          <w:instrText xml:space="preserve"> PAGEREF _Toc156394036 \h </w:instrText>
        </w:r>
        <w:r w:rsidR="00B657BC">
          <w:rPr>
            <w:noProof/>
            <w:webHidden/>
          </w:rPr>
        </w:r>
        <w:r w:rsidR="00B657BC">
          <w:rPr>
            <w:noProof/>
            <w:webHidden/>
          </w:rPr>
          <w:fldChar w:fldCharType="separate"/>
        </w:r>
        <w:r w:rsidR="00B657BC">
          <w:rPr>
            <w:noProof/>
            <w:webHidden/>
          </w:rPr>
          <w:t>7</w:t>
        </w:r>
        <w:r w:rsidR="00B657BC">
          <w:rPr>
            <w:noProof/>
            <w:webHidden/>
          </w:rPr>
          <w:fldChar w:fldCharType="end"/>
        </w:r>
      </w:hyperlink>
    </w:p>
    <w:p w14:paraId="598F76A8" w14:textId="3B7C566F" w:rsidR="00B657BC" w:rsidRDefault="00000000">
      <w:pPr>
        <w:pStyle w:val="TM2"/>
        <w:rPr>
          <w:rFonts w:asciiTheme="minorHAnsi" w:eastAsiaTheme="minorEastAsia" w:hAnsiTheme="minorHAnsi" w:cstheme="minorBidi"/>
          <w:noProof/>
          <w:color w:val="auto"/>
          <w:sz w:val="22"/>
          <w:szCs w:val="22"/>
        </w:rPr>
      </w:pPr>
      <w:hyperlink w:anchor="_Toc156394037" w:history="1">
        <w:r w:rsidR="00B657BC" w:rsidRPr="006018F8">
          <w:rPr>
            <w:rStyle w:val="Lienhypertexte"/>
            <w:noProof/>
          </w:rPr>
          <w:t>3.2. L’ART contribue à un meilleur fonctionnement économique du secteur des transports</w:t>
        </w:r>
        <w:r w:rsidR="00B657BC">
          <w:rPr>
            <w:noProof/>
            <w:webHidden/>
          </w:rPr>
          <w:tab/>
        </w:r>
        <w:r w:rsidR="00B657BC">
          <w:rPr>
            <w:noProof/>
            <w:webHidden/>
          </w:rPr>
          <w:fldChar w:fldCharType="begin"/>
        </w:r>
        <w:r w:rsidR="00B657BC">
          <w:rPr>
            <w:noProof/>
            <w:webHidden/>
          </w:rPr>
          <w:instrText xml:space="preserve"> PAGEREF _Toc156394037 \h </w:instrText>
        </w:r>
        <w:r w:rsidR="00B657BC">
          <w:rPr>
            <w:noProof/>
            <w:webHidden/>
          </w:rPr>
        </w:r>
        <w:r w:rsidR="00B657BC">
          <w:rPr>
            <w:noProof/>
            <w:webHidden/>
          </w:rPr>
          <w:fldChar w:fldCharType="separate"/>
        </w:r>
        <w:r w:rsidR="00B657BC">
          <w:rPr>
            <w:noProof/>
            <w:webHidden/>
          </w:rPr>
          <w:t>7</w:t>
        </w:r>
        <w:r w:rsidR="00B657BC">
          <w:rPr>
            <w:noProof/>
            <w:webHidden/>
          </w:rPr>
          <w:fldChar w:fldCharType="end"/>
        </w:r>
      </w:hyperlink>
    </w:p>
    <w:p w14:paraId="6FC7FC18" w14:textId="773D7B0F" w:rsidR="00B657BC" w:rsidRDefault="00000000">
      <w:pPr>
        <w:pStyle w:val="TM2"/>
        <w:rPr>
          <w:rFonts w:asciiTheme="minorHAnsi" w:eastAsiaTheme="minorEastAsia" w:hAnsiTheme="minorHAnsi" w:cstheme="minorBidi"/>
          <w:noProof/>
          <w:color w:val="auto"/>
          <w:sz w:val="22"/>
          <w:szCs w:val="22"/>
        </w:rPr>
      </w:pPr>
      <w:hyperlink w:anchor="_Toc156394038" w:history="1">
        <w:r w:rsidR="00B657BC" w:rsidRPr="006018F8">
          <w:rPr>
            <w:rStyle w:val="Lienhypertexte"/>
            <w:noProof/>
          </w:rPr>
          <w:t>3.3. Une autorité publique indépendante, partie prenante de son écosystème</w:t>
        </w:r>
        <w:r w:rsidR="00B657BC">
          <w:rPr>
            <w:noProof/>
            <w:webHidden/>
          </w:rPr>
          <w:tab/>
        </w:r>
        <w:r w:rsidR="00B657BC">
          <w:rPr>
            <w:noProof/>
            <w:webHidden/>
          </w:rPr>
          <w:fldChar w:fldCharType="begin"/>
        </w:r>
        <w:r w:rsidR="00B657BC">
          <w:rPr>
            <w:noProof/>
            <w:webHidden/>
          </w:rPr>
          <w:instrText xml:space="preserve"> PAGEREF _Toc156394038 \h </w:instrText>
        </w:r>
        <w:r w:rsidR="00B657BC">
          <w:rPr>
            <w:noProof/>
            <w:webHidden/>
          </w:rPr>
        </w:r>
        <w:r w:rsidR="00B657BC">
          <w:rPr>
            <w:noProof/>
            <w:webHidden/>
          </w:rPr>
          <w:fldChar w:fldCharType="separate"/>
        </w:r>
        <w:r w:rsidR="00B657BC">
          <w:rPr>
            <w:noProof/>
            <w:webHidden/>
          </w:rPr>
          <w:t>9</w:t>
        </w:r>
        <w:r w:rsidR="00B657BC">
          <w:rPr>
            <w:noProof/>
            <w:webHidden/>
          </w:rPr>
          <w:fldChar w:fldCharType="end"/>
        </w:r>
      </w:hyperlink>
    </w:p>
    <w:p w14:paraId="661F2897" w14:textId="4131BBCD" w:rsidR="00B657BC" w:rsidRDefault="00000000">
      <w:pPr>
        <w:pStyle w:val="TM2"/>
        <w:rPr>
          <w:rFonts w:asciiTheme="minorHAnsi" w:eastAsiaTheme="minorEastAsia" w:hAnsiTheme="minorHAnsi" w:cstheme="minorBidi"/>
          <w:noProof/>
          <w:color w:val="auto"/>
          <w:sz w:val="22"/>
          <w:szCs w:val="22"/>
        </w:rPr>
      </w:pPr>
      <w:hyperlink w:anchor="_Toc156394039" w:history="1">
        <w:r w:rsidR="00B657BC" w:rsidRPr="006018F8">
          <w:rPr>
            <w:rStyle w:val="Lienhypertexte"/>
            <w:rFonts w:eastAsia="Calibri"/>
            <w:noProof/>
          </w:rPr>
          <w:t>3.4. Des valeurs et modalités de travail au service de l’intérêt général</w:t>
        </w:r>
        <w:r w:rsidR="00B657BC">
          <w:rPr>
            <w:noProof/>
            <w:webHidden/>
          </w:rPr>
          <w:tab/>
        </w:r>
        <w:r w:rsidR="00B657BC">
          <w:rPr>
            <w:noProof/>
            <w:webHidden/>
          </w:rPr>
          <w:fldChar w:fldCharType="begin"/>
        </w:r>
        <w:r w:rsidR="00B657BC">
          <w:rPr>
            <w:noProof/>
            <w:webHidden/>
          </w:rPr>
          <w:instrText xml:space="preserve"> PAGEREF _Toc156394039 \h </w:instrText>
        </w:r>
        <w:r w:rsidR="00B657BC">
          <w:rPr>
            <w:noProof/>
            <w:webHidden/>
          </w:rPr>
        </w:r>
        <w:r w:rsidR="00B657BC">
          <w:rPr>
            <w:noProof/>
            <w:webHidden/>
          </w:rPr>
          <w:fldChar w:fldCharType="separate"/>
        </w:r>
        <w:r w:rsidR="00B657BC">
          <w:rPr>
            <w:noProof/>
            <w:webHidden/>
          </w:rPr>
          <w:t>10</w:t>
        </w:r>
        <w:r w:rsidR="00B657BC">
          <w:rPr>
            <w:noProof/>
            <w:webHidden/>
          </w:rPr>
          <w:fldChar w:fldCharType="end"/>
        </w:r>
      </w:hyperlink>
    </w:p>
    <w:p w14:paraId="54651D11" w14:textId="62E7121D" w:rsidR="00B657BC" w:rsidRDefault="00000000">
      <w:pPr>
        <w:pStyle w:val="TM1"/>
        <w:rPr>
          <w:rFonts w:asciiTheme="minorHAnsi" w:eastAsiaTheme="minorEastAsia" w:hAnsiTheme="minorHAnsi" w:cstheme="minorBidi"/>
          <w:b w:val="0"/>
          <w:caps w:val="0"/>
          <w:noProof/>
          <w:color w:val="auto"/>
          <w:sz w:val="22"/>
          <w:szCs w:val="22"/>
        </w:rPr>
      </w:pPr>
      <w:hyperlink w:anchor="_Toc156394040" w:history="1">
        <w:r w:rsidR="00B657BC" w:rsidRPr="006018F8">
          <w:rPr>
            <w:rStyle w:val="Lienhypertexte"/>
            <w:noProof/>
          </w:rPr>
          <w:t>4. Les enjeux de l’« acte II » de la régulation des transports</w:t>
        </w:r>
        <w:r w:rsidR="00B657BC">
          <w:rPr>
            <w:noProof/>
            <w:webHidden/>
          </w:rPr>
          <w:tab/>
        </w:r>
        <w:r w:rsidR="00B657BC">
          <w:rPr>
            <w:noProof/>
            <w:webHidden/>
          </w:rPr>
          <w:fldChar w:fldCharType="begin"/>
        </w:r>
        <w:r w:rsidR="00B657BC">
          <w:rPr>
            <w:noProof/>
            <w:webHidden/>
          </w:rPr>
          <w:instrText xml:space="preserve"> PAGEREF _Toc156394040 \h </w:instrText>
        </w:r>
        <w:r w:rsidR="00B657BC">
          <w:rPr>
            <w:noProof/>
            <w:webHidden/>
          </w:rPr>
        </w:r>
        <w:r w:rsidR="00B657BC">
          <w:rPr>
            <w:noProof/>
            <w:webHidden/>
          </w:rPr>
          <w:fldChar w:fldCharType="separate"/>
        </w:r>
        <w:r w:rsidR="00B657BC">
          <w:rPr>
            <w:noProof/>
            <w:webHidden/>
          </w:rPr>
          <w:t>11</w:t>
        </w:r>
        <w:r w:rsidR="00B657BC">
          <w:rPr>
            <w:noProof/>
            <w:webHidden/>
          </w:rPr>
          <w:fldChar w:fldCharType="end"/>
        </w:r>
      </w:hyperlink>
    </w:p>
    <w:p w14:paraId="46190AD0" w14:textId="45053268" w:rsidR="00B657BC" w:rsidRDefault="00000000">
      <w:pPr>
        <w:pStyle w:val="TM2"/>
        <w:rPr>
          <w:rFonts w:asciiTheme="minorHAnsi" w:eastAsiaTheme="minorEastAsia" w:hAnsiTheme="minorHAnsi" w:cstheme="minorBidi"/>
          <w:noProof/>
          <w:color w:val="auto"/>
          <w:sz w:val="22"/>
          <w:szCs w:val="22"/>
        </w:rPr>
      </w:pPr>
      <w:hyperlink w:anchor="_Toc156394041" w:history="1">
        <w:r w:rsidR="00B657BC" w:rsidRPr="006018F8">
          <w:rPr>
            <w:rStyle w:val="Lienhypertexte"/>
            <w:noProof/>
          </w:rPr>
          <w:t>4.1. Contribuer à la maîtrise des prix et à l’amélioration de la qualité de service</w:t>
        </w:r>
        <w:r w:rsidR="00B657BC">
          <w:rPr>
            <w:noProof/>
            <w:webHidden/>
          </w:rPr>
          <w:tab/>
        </w:r>
        <w:r w:rsidR="00B657BC">
          <w:rPr>
            <w:noProof/>
            <w:webHidden/>
          </w:rPr>
          <w:fldChar w:fldCharType="begin"/>
        </w:r>
        <w:r w:rsidR="00B657BC">
          <w:rPr>
            <w:noProof/>
            <w:webHidden/>
          </w:rPr>
          <w:instrText xml:space="preserve"> PAGEREF _Toc156394041 \h </w:instrText>
        </w:r>
        <w:r w:rsidR="00B657BC">
          <w:rPr>
            <w:noProof/>
            <w:webHidden/>
          </w:rPr>
        </w:r>
        <w:r w:rsidR="00B657BC">
          <w:rPr>
            <w:noProof/>
            <w:webHidden/>
          </w:rPr>
          <w:fldChar w:fldCharType="separate"/>
        </w:r>
        <w:r w:rsidR="00B657BC">
          <w:rPr>
            <w:noProof/>
            <w:webHidden/>
          </w:rPr>
          <w:t>12</w:t>
        </w:r>
        <w:r w:rsidR="00B657BC">
          <w:rPr>
            <w:noProof/>
            <w:webHidden/>
          </w:rPr>
          <w:fldChar w:fldCharType="end"/>
        </w:r>
      </w:hyperlink>
    </w:p>
    <w:p w14:paraId="49C0AE25" w14:textId="53E5A75D" w:rsidR="00B657BC" w:rsidRDefault="00000000">
      <w:pPr>
        <w:pStyle w:val="TM2"/>
        <w:rPr>
          <w:rFonts w:asciiTheme="minorHAnsi" w:eastAsiaTheme="minorEastAsia" w:hAnsiTheme="minorHAnsi" w:cstheme="minorBidi"/>
          <w:noProof/>
          <w:color w:val="auto"/>
          <w:sz w:val="22"/>
          <w:szCs w:val="22"/>
        </w:rPr>
      </w:pPr>
      <w:hyperlink w:anchor="_Toc156394042" w:history="1">
        <w:r w:rsidR="00B657BC" w:rsidRPr="006018F8">
          <w:rPr>
            <w:rStyle w:val="Lienhypertexte"/>
            <w:noProof/>
          </w:rPr>
          <w:t>4.2. Inscrire la régulation des transports dans la transition écologique</w:t>
        </w:r>
        <w:r w:rsidR="00B657BC">
          <w:rPr>
            <w:noProof/>
            <w:webHidden/>
          </w:rPr>
          <w:tab/>
        </w:r>
        <w:r w:rsidR="00B657BC">
          <w:rPr>
            <w:noProof/>
            <w:webHidden/>
          </w:rPr>
          <w:fldChar w:fldCharType="begin"/>
        </w:r>
        <w:r w:rsidR="00B657BC">
          <w:rPr>
            <w:noProof/>
            <w:webHidden/>
          </w:rPr>
          <w:instrText xml:space="preserve"> PAGEREF _Toc156394042 \h </w:instrText>
        </w:r>
        <w:r w:rsidR="00B657BC">
          <w:rPr>
            <w:noProof/>
            <w:webHidden/>
          </w:rPr>
        </w:r>
        <w:r w:rsidR="00B657BC">
          <w:rPr>
            <w:noProof/>
            <w:webHidden/>
          </w:rPr>
          <w:fldChar w:fldCharType="separate"/>
        </w:r>
        <w:r w:rsidR="00B657BC">
          <w:rPr>
            <w:noProof/>
            <w:webHidden/>
          </w:rPr>
          <w:t>13</w:t>
        </w:r>
        <w:r w:rsidR="00B657BC">
          <w:rPr>
            <w:noProof/>
            <w:webHidden/>
          </w:rPr>
          <w:fldChar w:fldCharType="end"/>
        </w:r>
      </w:hyperlink>
    </w:p>
    <w:p w14:paraId="7FE5A072" w14:textId="750A9B9E" w:rsidR="00B657BC" w:rsidRDefault="00000000">
      <w:pPr>
        <w:pStyle w:val="TM2"/>
        <w:rPr>
          <w:rFonts w:asciiTheme="minorHAnsi" w:eastAsiaTheme="minorEastAsia" w:hAnsiTheme="minorHAnsi" w:cstheme="minorBidi"/>
          <w:noProof/>
          <w:color w:val="auto"/>
          <w:sz w:val="22"/>
          <w:szCs w:val="22"/>
        </w:rPr>
      </w:pPr>
      <w:hyperlink w:anchor="_Toc156394043" w:history="1">
        <w:r w:rsidR="00B657BC" w:rsidRPr="006018F8">
          <w:rPr>
            <w:rStyle w:val="Lienhypertexte"/>
            <w:noProof/>
          </w:rPr>
          <w:t>4.3. Développer une approche multimodale de la régulation économique</w:t>
        </w:r>
        <w:r w:rsidR="00B657BC">
          <w:rPr>
            <w:noProof/>
            <w:webHidden/>
          </w:rPr>
          <w:tab/>
        </w:r>
        <w:r w:rsidR="00B657BC">
          <w:rPr>
            <w:noProof/>
            <w:webHidden/>
          </w:rPr>
          <w:fldChar w:fldCharType="begin"/>
        </w:r>
        <w:r w:rsidR="00B657BC">
          <w:rPr>
            <w:noProof/>
            <w:webHidden/>
          </w:rPr>
          <w:instrText xml:space="preserve"> PAGEREF _Toc156394043 \h </w:instrText>
        </w:r>
        <w:r w:rsidR="00B657BC">
          <w:rPr>
            <w:noProof/>
            <w:webHidden/>
          </w:rPr>
        </w:r>
        <w:r w:rsidR="00B657BC">
          <w:rPr>
            <w:noProof/>
            <w:webHidden/>
          </w:rPr>
          <w:fldChar w:fldCharType="separate"/>
        </w:r>
        <w:r w:rsidR="00B657BC">
          <w:rPr>
            <w:noProof/>
            <w:webHidden/>
          </w:rPr>
          <w:t>14</w:t>
        </w:r>
        <w:r w:rsidR="00B657BC">
          <w:rPr>
            <w:noProof/>
            <w:webHidden/>
          </w:rPr>
          <w:fldChar w:fldCharType="end"/>
        </w:r>
      </w:hyperlink>
    </w:p>
    <w:p w14:paraId="1D325553" w14:textId="274941E8" w:rsidR="005F3870" w:rsidRPr="00FC0908" w:rsidRDefault="004F719A" w:rsidP="005F3870">
      <w:pPr>
        <w:spacing w:before="0" w:after="0" w:line="280" w:lineRule="atLeast"/>
        <w:jc w:val="left"/>
        <w:rPr>
          <w:rFonts w:eastAsiaTheme="majorEastAsia" w:cstheme="minorHAnsi"/>
          <w:noProof/>
          <w:color w:val="6C8A99" w:themeColor="accent1"/>
          <w:sz w:val="24"/>
          <w:szCs w:val="24"/>
        </w:rPr>
      </w:pPr>
      <w:r>
        <w:rPr>
          <w:b/>
          <w:caps/>
          <w:color w:val="24356D"/>
        </w:rPr>
        <w:fldChar w:fldCharType="end"/>
      </w:r>
      <w:r w:rsidR="005F3870">
        <w:br w:type="page"/>
      </w:r>
    </w:p>
    <w:p w14:paraId="7E9D63E7" w14:textId="6251454B" w:rsidR="001C0007" w:rsidRDefault="002C405E" w:rsidP="00F25DB7">
      <w:pPr>
        <w:pStyle w:val="Titre1"/>
      </w:pPr>
      <w:bookmarkStart w:id="0" w:name="_Toc156394033"/>
      <w:r>
        <w:lastRenderedPageBreak/>
        <w:t xml:space="preserve">Contexte </w:t>
      </w:r>
      <w:r w:rsidR="007F5316">
        <w:t>e</w:t>
      </w:r>
      <w:r>
        <w:t>t objectifs</w:t>
      </w:r>
      <w:r w:rsidR="000853B0">
        <w:t xml:space="preserve"> de la présente consultation publique</w:t>
      </w:r>
      <w:bookmarkEnd w:id="0"/>
    </w:p>
    <w:p w14:paraId="699747C8" w14:textId="0985EC0D" w:rsidR="0016072B" w:rsidRPr="00E146A6" w:rsidRDefault="003470AB" w:rsidP="00006925">
      <w:pPr>
        <w:pStyle w:val="Emphase"/>
        <w:rPr>
          <w:szCs w:val="22"/>
        </w:rPr>
      </w:pPr>
      <w:bookmarkStart w:id="1" w:name="_Hlk152320777"/>
      <w:r w:rsidRPr="00E146A6">
        <w:rPr>
          <w:szCs w:val="22"/>
        </w:rPr>
        <w:t>Inscrire la régulation dans les enjeux actuels du secteur des transports</w:t>
      </w:r>
    </w:p>
    <w:p w14:paraId="32E5BD0E" w14:textId="46B69EBA" w:rsidR="00522880" w:rsidRDefault="00872FE5" w:rsidP="002E2759">
      <w:r w:rsidRPr="0016072B">
        <w:t xml:space="preserve">Alors que l’Autorité de régulation des transports (ci-après l’« ART ») entre dans une </w:t>
      </w:r>
      <w:r w:rsidRPr="00846D28">
        <w:rPr>
          <w:b/>
        </w:rPr>
        <w:t>phase de maturité</w:t>
      </w:r>
      <w:r w:rsidRPr="0016072B">
        <w:t xml:space="preserve"> après </w:t>
      </w:r>
      <w:r w:rsidR="008E64E4">
        <w:t xml:space="preserve">bientôt </w:t>
      </w:r>
      <w:r w:rsidR="0016072B" w:rsidRPr="0016072B">
        <w:rPr>
          <w:bCs/>
        </w:rPr>
        <w:t>15 ans d’</w:t>
      </w:r>
      <w:r w:rsidR="003766DA">
        <w:rPr>
          <w:bCs/>
        </w:rPr>
        <w:t xml:space="preserve">existence </w:t>
      </w:r>
      <w:r w:rsidR="0016072B" w:rsidRPr="0016072B">
        <w:rPr>
          <w:bCs/>
        </w:rPr>
        <w:t xml:space="preserve">et </w:t>
      </w:r>
      <w:r w:rsidRPr="0016072B">
        <w:rPr>
          <w:bCs/>
        </w:rPr>
        <w:t xml:space="preserve">une période </w:t>
      </w:r>
      <w:r w:rsidR="0016072B" w:rsidRPr="0016072B">
        <w:rPr>
          <w:bCs/>
        </w:rPr>
        <w:t>de forte extension</w:t>
      </w:r>
      <w:r w:rsidRPr="0016072B">
        <w:t xml:space="preserve"> de ses compétences</w:t>
      </w:r>
      <w:r w:rsidR="00E11759">
        <w:rPr>
          <w:bCs/>
        </w:rPr>
        <w:t xml:space="preserve"> entre 2015 et 2019</w:t>
      </w:r>
      <w:r>
        <w:t xml:space="preserve">, </w:t>
      </w:r>
      <w:r w:rsidRPr="009D4873">
        <w:t>les orientations stratégiques 2024-2029 ont l’ambition de lancer un « acte II » de la régulation économique sectorielle des transports</w:t>
      </w:r>
      <w:r>
        <w:t>.</w:t>
      </w:r>
    </w:p>
    <w:p w14:paraId="2597ADD8" w14:textId="5C975A14" w:rsidR="00872FE5" w:rsidRPr="00725969" w:rsidRDefault="00542E1A" w:rsidP="00E11759">
      <w:pPr>
        <w:spacing w:after="0"/>
        <w:rPr>
          <w:rFonts w:eastAsia="Calibri"/>
        </w:rPr>
      </w:pPr>
      <w:r>
        <w:rPr>
          <w:b/>
          <w:bCs/>
        </w:rPr>
        <w:t xml:space="preserve">Le </w:t>
      </w:r>
      <w:r w:rsidR="00692D4E">
        <w:rPr>
          <w:b/>
          <w:bCs/>
        </w:rPr>
        <w:t xml:space="preserve">secteur des transports </w:t>
      </w:r>
      <w:r>
        <w:rPr>
          <w:b/>
          <w:bCs/>
        </w:rPr>
        <w:t xml:space="preserve">est </w:t>
      </w:r>
      <w:r w:rsidR="00692D4E">
        <w:rPr>
          <w:b/>
          <w:bCs/>
        </w:rPr>
        <w:t xml:space="preserve">confronté à des enjeux majeurs </w:t>
      </w:r>
      <w:r w:rsidR="005E00E3">
        <w:t xml:space="preserve">– </w:t>
      </w:r>
      <w:r w:rsidR="005E00E3" w:rsidRPr="003E0A11">
        <w:t xml:space="preserve">transition écologique, </w:t>
      </w:r>
      <w:r w:rsidR="005E00E3">
        <w:t xml:space="preserve">financement et </w:t>
      </w:r>
      <w:r w:rsidR="005E00E3" w:rsidRPr="003E0A11">
        <w:t>prix</w:t>
      </w:r>
      <w:r w:rsidR="005E00E3">
        <w:t xml:space="preserve"> des transports, </w:t>
      </w:r>
      <w:r w:rsidR="005E00E3" w:rsidRPr="003E0A11">
        <w:t xml:space="preserve">qualité des infrastructures et des services </w:t>
      </w:r>
      <w:r w:rsidR="008E64E4">
        <w:t xml:space="preserve">rendus </w:t>
      </w:r>
      <w:r w:rsidR="005E00E3" w:rsidRPr="003E0A11">
        <w:t>à l’usager</w:t>
      </w:r>
      <w:r w:rsidR="004C2206">
        <w:t xml:space="preserve">. Il est </w:t>
      </w:r>
      <w:r w:rsidR="00E11759" w:rsidRPr="00692D4E">
        <w:rPr>
          <w:rFonts w:eastAsia="Calibri"/>
        </w:rPr>
        <w:t xml:space="preserve">à </w:t>
      </w:r>
      <w:r w:rsidR="004C2206">
        <w:t xml:space="preserve">la veille </w:t>
      </w:r>
      <w:r w:rsidR="00E11759" w:rsidRPr="00692D4E">
        <w:t>de changements importants</w:t>
      </w:r>
      <w:r w:rsidR="008E64E4">
        <w:t>, tels que</w:t>
      </w:r>
      <w:r w:rsidR="00E11759">
        <w:t xml:space="preserve"> l’arrivée de nouvelles entreprises ferroviaires en France, l’échéance </w:t>
      </w:r>
      <w:r w:rsidR="004C2206">
        <w:t xml:space="preserve">à l’horizon d’une décennie </w:t>
      </w:r>
      <w:r w:rsidR="00E11759">
        <w:t xml:space="preserve">des </w:t>
      </w:r>
      <w:r w:rsidR="004C2206">
        <w:t xml:space="preserve">sept principaux </w:t>
      </w:r>
      <w:r w:rsidR="00E11759">
        <w:t>contrats de concession</w:t>
      </w:r>
      <w:r w:rsidR="005E00E3">
        <w:t>s</w:t>
      </w:r>
      <w:r w:rsidR="00E11759">
        <w:t xml:space="preserve"> autoroutière</w:t>
      </w:r>
      <w:r w:rsidR="005E00E3">
        <w:t>s</w:t>
      </w:r>
      <w:r w:rsidR="00E11759">
        <w:t xml:space="preserve"> </w:t>
      </w:r>
      <w:r w:rsidR="004C2206">
        <w:t>historiques (</w:t>
      </w:r>
      <w:r w:rsidR="00E11759">
        <w:t>à partir de 2031</w:t>
      </w:r>
      <w:r w:rsidR="004C2206">
        <w:t>)</w:t>
      </w:r>
      <w:r w:rsidR="00E11759">
        <w:t xml:space="preserve">, l’évolution </w:t>
      </w:r>
      <w:r w:rsidR="008E64E4">
        <w:t xml:space="preserve">attendue </w:t>
      </w:r>
      <w:r w:rsidR="00E11759">
        <w:t>du cadre de régulation aéroportuaire ou encore le développement des services numériques de mobilité.</w:t>
      </w:r>
      <w:r w:rsidR="00E11759" w:rsidRPr="003E0A11">
        <w:t xml:space="preserve"> </w:t>
      </w:r>
    </w:p>
    <w:tbl>
      <w:tblPr>
        <w:tblStyle w:val="Grilledutableau"/>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418"/>
        <w:gridCol w:w="7791"/>
      </w:tblGrid>
      <w:tr w:rsidR="00E975B3" w14:paraId="24DC6219" w14:textId="77777777" w:rsidTr="00725969">
        <w:tc>
          <w:tcPr>
            <w:tcW w:w="1418" w:type="dxa"/>
          </w:tcPr>
          <w:p w14:paraId="7E1DB592" w14:textId="577C520B" w:rsidR="006C4484" w:rsidRDefault="00E975B3" w:rsidP="002E2759">
            <w:r>
              <w:rPr>
                <w:noProof/>
              </w:rPr>
              <w:drawing>
                <wp:inline distT="0" distB="0" distL="0" distR="0" wp14:anchorId="5764578C" wp14:editId="49261BD6">
                  <wp:extent cx="457200" cy="457200"/>
                  <wp:effectExtent l="0" t="0" r="0" b="0"/>
                  <wp:docPr id="1" name="Graphique 1" descr="Main ouverte avec une plant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que 1" descr="Main ouverte avec une plante avec un remplissage uni"/>
                          <pic:cNvPicPr/>
                        </pic:nvPicPr>
                        <pic:blipFill>
                          <a:blip r:embed="rId12">
                            <a:extLst>
                              <a:ext uri="{96DAC541-7B7A-43D3-8B79-37D633B846F1}">
                                <asvg:svgBlip xmlns:asvg="http://schemas.microsoft.com/office/drawing/2016/SVG/main" r:embed="rId13"/>
                              </a:ext>
                            </a:extLst>
                          </a:blip>
                          <a:stretch>
                            <a:fillRect/>
                          </a:stretch>
                        </pic:blipFill>
                        <pic:spPr>
                          <a:xfrm>
                            <a:off x="0" y="0"/>
                            <a:ext cx="459090" cy="459090"/>
                          </a:xfrm>
                          <a:prstGeom prst="rect">
                            <a:avLst/>
                          </a:prstGeom>
                        </pic:spPr>
                      </pic:pic>
                    </a:graphicData>
                  </a:graphic>
                </wp:inline>
              </w:drawing>
            </w:r>
          </w:p>
        </w:tc>
        <w:tc>
          <w:tcPr>
            <w:tcW w:w="7791" w:type="dxa"/>
          </w:tcPr>
          <w:p w14:paraId="029C5285" w14:textId="70CAFD6A" w:rsidR="0016072B" w:rsidRPr="0016072B" w:rsidRDefault="0016072B" w:rsidP="00A57952">
            <w:pPr>
              <w:spacing w:after="120"/>
              <w:contextualSpacing w:val="0"/>
              <w:jc w:val="center"/>
              <w:rPr>
                <w:rFonts w:eastAsia="Calibri"/>
                <w:b/>
                <w:bCs/>
              </w:rPr>
            </w:pPr>
            <w:r w:rsidRPr="0016072B">
              <w:rPr>
                <w:rFonts w:eastAsia="Calibri"/>
                <w:b/>
                <w:bCs/>
              </w:rPr>
              <w:t>Transition écologique</w:t>
            </w:r>
          </w:p>
          <w:p w14:paraId="54CBADEE" w14:textId="3AB3C296" w:rsidR="006C4484" w:rsidRPr="00725969" w:rsidRDefault="006C4484" w:rsidP="002E2759">
            <w:pPr>
              <w:rPr>
                <w:rFonts w:eastAsia="Calibri"/>
              </w:rPr>
            </w:pPr>
            <w:r>
              <w:rPr>
                <w:rFonts w:eastAsia="Calibri"/>
              </w:rPr>
              <w:t>Les constats effectués, tant en matière d’impact environnemental du secteur</w:t>
            </w:r>
            <w:r w:rsidR="00C35A7F">
              <w:rPr>
                <w:rFonts w:eastAsia="Calibri"/>
              </w:rPr>
              <w:t xml:space="preserve">, </w:t>
            </w:r>
            <w:r>
              <w:rPr>
                <w:rFonts w:eastAsia="Calibri"/>
              </w:rPr>
              <w:t>premier contributeur aux émissions de CO</w:t>
            </w:r>
            <w:r w:rsidRPr="00C449E4">
              <w:rPr>
                <w:rFonts w:eastAsia="Calibri"/>
                <w:vertAlign w:val="subscript"/>
              </w:rPr>
              <w:t>2</w:t>
            </w:r>
            <w:r>
              <w:rPr>
                <w:rFonts w:eastAsia="Calibri"/>
              </w:rPr>
              <w:t xml:space="preserve"> nationale</w:t>
            </w:r>
            <w:r w:rsidR="001B0EE6">
              <w:rPr>
                <w:rFonts w:eastAsia="Calibri"/>
              </w:rPr>
              <w:t>s</w:t>
            </w:r>
            <w:r>
              <w:rPr>
                <w:rFonts w:eastAsia="Calibri"/>
              </w:rPr>
              <w:t xml:space="preserve"> (32% en 2022, soit environ 130 Mt e</w:t>
            </w:r>
            <w:r w:rsidR="001B0EE6">
              <w:rPr>
                <w:rFonts w:eastAsia="Calibri"/>
              </w:rPr>
              <w:t>q</w:t>
            </w:r>
            <w:r>
              <w:rPr>
                <w:rFonts w:eastAsia="Calibri"/>
              </w:rPr>
              <w:t>CO</w:t>
            </w:r>
            <w:r w:rsidRPr="00182C08">
              <w:rPr>
                <w:rFonts w:eastAsia="Calibri"/>
                <w:vertAlign w:val="subscript"/>
              </w:rPr>
              <w:t>2</w:t>
            </w:r>
            <w:r>
              <w:rPr>
                <w:rFonts w:eastAsia="Calibri"/>
              </w:rPr>
              <w:t>)</w:t>
            </w:r>
            <w:r w:rsidR="00C35A7F">
              <w:rPr>
                <w:rFonts w:eastAsia="Calibri"/>
              </w:rPr>
              <w:t>,</w:t>
            </w:r>
            <w:r>
              <w:rPr>
                <w:rFonts w:eastAsia="Calibri"/>
              </w:rPr>
              <w:t xml:space="preserve"> que de pratiques de mobilités, </w:t>
            </w:r>
            <w:r w:rsidR="001B0EE6">
              <w:rPr>
                <w:rFonts w:eastAsia="Calibri"/>
              </w:rPr>
              <w:t>conduisent à faire</w:t>
            </w:r>
            <w:r>
              <w:rPr>
                <w:rFonts w:eastAsia="Calibri"/>
              </w:rPr>
              <w:t xml:space="preserve"> de la </w:t>
            </w:r>
            <w:r w:rsidRPr="00725969">
              <w:rPr>
                <w:rFonts w:eastAsia="Calibri"/>
                <w:b/>
              </w:rPr>
              <w:t>neutralité carbone à horizon 2050</w:t>
            </w:r>
            <w:r>
              <w:rPr>
                <w:rFonts w:eastAsia="Calibri"/>
              </w:rPr>
              <w:t xml:space="preserve"> le principal enjeu du secteur des transports </w:t>
            </w:r>
            <w:r w:rsidR="008E64E4">
              <w:rPr>
                <w:rFonts w:eastAsia="Calibri"/>
              </w:rPr>
              <w:t>dans les décennies à venir</w:t>
            </w:r>
            <w:r>
              <w:rPr>
                <w:rFonts w:eastAsia="Calibri"/>
              </w:rPr>
              <w:t xml:space="preserve">. </w:t>
            </w:r>
            <w:r w:rsidR="0016072B">
              <w:rPr>
                <w:rFonts w:eastAsia="Calibri"/>
              </w:rPr>
              <w:t>À</w:t>
            </w:r>
            <w:r>
              <w:rPr>
                <w:rFonts w:eastAsia="Calibri"/>
              </w:rPr>
              <w:t xml:space="preserve"> ce titre, </w:t>
            </w:r>
            <w:r>
              <w:t>le secteur</w:t>
            </w:r>
            <w:r w:rsidRPr="00756C0C">
              <w:t xml:space="preserve"> est au cœur de la stratégie nationale française dite «</w:t>
            </w:r>
            <w:r w:rsidR="009A3B6B">
              <w:t> </w:t>
            </w:r>
            <w:r w:rsidRPr="00756C0C">
              <w:t>bas carbone</w:t>
            </w:r>
            <w:r w:rsidR="009A3B6B">
              <w:t> </w:t>
            </w:r>
            <w:r w:rsidRPr="00756C0C">
              <w:t>» (SNBC)</w:t>
            </w:r>
            <w:r w:rsidR="003F18F1">
              <w:t xml:space="preserve"> qui fixe une trajectoire ambitieuse de réduction</w:t>
            </w:r>
            <w:r w:rsidR="00C72977">
              <w:t xml:space="preserve"> des émissions de gaz à effet de serre</w:t>
            </w:r>
            <w:r w:rsidR="00364642">
              <w:rPr>
                <w:rStyle w:val="Appelnotedebasdep"/>
              </w:rPr>
              <w:footnoteReference w:id="2"/>
            </w:r>
            <w:r w:rsidR="00320969">
              <w:t>, notamment</w:t>
            </w:r>
            <w:r w:rsidR="005B7355">
              <w:t xml:space="preserve"> </w:t>
            </w:r>
            <w:r w:rsidR="001B0EE6">
              <w:t xml:space="preserve">par </w:t>
            </w:r>
            <w:r w:rsidR="005B7355">
              <w:t xml:space="preserve">une réorientation du progrès technique vers les </w:t>
            </w:r>
            <w:r w:rsidR="00320969">
              <w:t>énergies</w:t>
            </w:r>
            <w:r w:rsidR="005B7355">
              <w:t xml:space="preserve"> renouvelables, l’amélioration de l’efficacité énergétique</w:t>
            </w:r>
            <w:r w:rsidR="0067255F">
              <w:t xml:space="preserve"> et</w:t>
            </w:r>
            <w:r w:rsidR="005B7355">
              <w:t xml:space="preserve"> </w:t>
            </w:r>
            <w:r w:rsidR="00570006">
              <w:t xml:space="preserve">davantage de sobriété </w:t>
            </w:r>
            <w:r w:rsidR="004F7305" w:rsidRPr="00725969">
              <w:t xml:space="preserve">au </w:t>
            </w:r>
            <w:r w:rsidR="004F7305" w:rsidRPr="00725969" w:rsidDel="009A3B6B">
              <w:t>travers</w:t>
            </w:r>
            <w:r w:rsidR="004F7305" w:rsidDel="009A3B6B">
              <w:t xml:space="preserve"> </w:t>
            </w:r>
            <w:r w:rsidR="00A627C3">
              <w:t>une</w:t>
            </w:r>
            <w:r w:rsidR="005B7355">
              <w:t xml:space="preserve"> </w:t>
            </w:r>
            <w:r w:rsidR="00570006">
              <w:t>modération des usages</w:t>
            </w:r>
            <w:r w:rsidR="0080069B">
              <w:rPr>
                <w:rStyle w:val="Appelnotedebasdep"/>
              </w:rPr>
              <w:footnoteReference w:id="3"/>
            </w:r>
            <w:r w:rsidR="005B7355">
              <w:t>.</w:t>
            </w:r>
          </w:p>
        </w:tc>
      </w:tr>
      <w:tr w:rsidR="00E975B3" w14:paraId="0CEA4316" w14:textId="77777777" w:rsidTr="00725969">
        <w:tc>
          <w:tcPr>
            <w:tcW w:w="1418" w:type="dxa"/>
          </w:tcPr>
          <w:p w14:paraId="35AC1C5E" w14:textId="446E7BED" w:rsidR="006C4484" w:rsidRDefault="00E975B3" w:rsidP="002E2759">
            <w:r>
              <w:rPr>
                <w:noProof/>
              </w:rPr>
              <w:drawing>
                <wp:inline distT="0" distB="0" distL="0" distR="0" wp14:anchorId="5D950930" wp14:editId="7DC43459">
                  <wp:extent cx="482600" cy="482600"/>
                  <wp:effectExtent l="0" t="0" r="0" b="0"/>
                  <wp:docPr id="3" name="Graphique 3" descr="Présentation avec graphique à barres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Présentation avec graphique à barres avec un remplissage uni"/>
                          <pic:cNvPicPr/>
                        </pic:nvPicPr>
                        <pic:blipFill>
                          <a:blip r:embed="rId14">
                            <a:extLst>
                              <a:ext uri="{96DAC541-7B7A-43D3-8B79-37D633B846F1}">
                                <asvg:svgBlip xmlns:asvg="http://schemas.microsoft.com/office/drawing/2016/SVG/main" r:embed="rId15"/>
                              </a:ext>
                            </a:extLst>
                          </a:blip>
                          <a:stretch>
                            <a:fillRect/>
                          </a:stretch>
                        </pic:blipFill>
                        <pic:spPr>
                          <a:xfrm>
                            <a:off x="0" y="0"/>
                            <a:ext cx="483918" cy="483918"/>
                          </a:xfrm>
                          <a:prstGeom prst="rect">
                            <a:avLst/>
                          </a:prstGeom>
                        </pic:spPr>
                      </pic:pic>
                    </a:graphicData>
                  </a:graphic>
                </wp:inline>
              </w:drawing>
            </w:r>
          </w:p>
        </w:tc>
        <w:tc>
          <w:tcPr>
            <w:tcW w:w="7791" w:type="dxa"/>
          </w:tcPr>
          <w:p w14:paraId="703DC769" w14:textId="1EED60AB" w:rsidR="0016072B" w:rsidRDefault="0016072B" w:rsidP="00A57952">
            <w:pPr>
              <w:spacing w:before="0" w:after="120"/>
              <w:contextualSpacing w:val="0"/>
              <w:jc w:val="center"/>
              <w:rPr>
                <w:b/>
                <w:bCs/>
              </w:rPr>
            </w:pPr>
            <w:r w:rsidRPr="0016072B">
              <w:rPr>
                <w:b/>
                <w:bCs/>
              </w:rPr>
              <w:t xml:space="preserve">Maîtrise </w:t>
            </w:r>
            <w:r w:rsidRPr="0016072B">
              <w:rPr>
                <w:b/>
              </w:rPr>
              <w:t>des</w:t>
            </w:r>
            <w:r w:rsidRPr="0016072B">
              <w:rPr>
                <w:b/>
                <w:bCs/>
              </w:rPr>
              <w:t xml:space="preserve"> prix</w:t>
            </w:r>
          </w:p>
          <w:p w14:paraId="26C92056" w14:textId="7B6C598E" w:rsidR="008F294E" w:rsidRPr="008F294E" w:rsidRDefault="003A1E39" w:rsidP="00E11759">
            <w:pPr>
              <w:spacing w:after="0"/>
            </w:pPr>
            <w:r>
              <w:t>Cette priorité nationale</w:t>
            </w:r>
            <w:r w:rsidR="008E498F">
              <w:t xml:space="preserve"> s’accompagne d</w:t>
            </w:r>
            <w:r w:rsidR="003502B5">
              <w:t xml:space="preserve">’un enjeu </w:t>
            </w:r>
            <w:r>
              <w:t xml:space="preserve">complémentaire </w:t>
            </w:r>
            <w:r w:rsidR="006E469D">
              <w:t>de</w:t>
            </w:r>
            <w:r>
              <w:t xml:space="preserve"> </w:t>
            </w:r>
            <w:r w:rsidR="008E498F" w:rsidRPr="00725969">
              <w:rPr>
                <w:b/>
                <w:bCs/>
              </w:rPr>
              <w:t>maîtrise des prix</w:t>
            </w:r>
            <w:r w:rsidR="008E498F">
              <w:t xml:space="preserve">. </w:t>
            </w:r>
            <w:r w:rsidR="00697F88">
              <w:t xml:space="preserve">L’importance </w:t>
            </w:r>
            <w:r w:rsidR="006E469D">
              <w:t>d</w:t>
            </w:r>
            <w:r w:rsidR="00697F88">
              <w:t xml:space="preserve">es </w:t>
            </w:r>
            <w:r w:rsidR="008E498F">
              <w:t xml:space="preserve">dépenses </w:t>
            </w:r>
            <w:r w:rsidR="00697F88">
              <w:t xml:space="preserve">de transport pour </w:t>
            </w:r>
            <w:r w:rsidR="008E498F">
              <w:t>l’</w:t>
            </w:r>
            <w:r>
              <w:t>É</w:t>
            </w:r>
            <w:r w:rsidR="008E498F">
              <w:t xml:space="preserve">tat, les collectivités </w:t>
            </w:r>
            <w:r w:rsidR="00697F88">
              <w:t xml:space="preserve">territoriales et les usagers </w:t>
            </w:r>
            <w:r w:rsidR="008E498F">
              <w:t>pose</w:t>
            </w:r>
            <w:r w:rsidR="005750A0">
              <w:t xml:space="preserve"> en effet</w:t>
            </w:r>
            <w:r w:rsidR="008E498F">
              <w:t xml:space="preserve"> la question de la définition d’un modèle de financement économiquement soutenable pour </w:t>
            </w:r>
            <w:r w:rsidR="00697F88">
              <w:t>les</w:t>
            </w:r>
            <w:r w:rsidR="008E498F">
              <w:t xml:space="preserve"> acteurs</w:t>
            </w:r>
            <w:r w:rsidR="005750A0">
              <w:t xml:space="preserve"> </w:t>
            </w:r>
            <w:r w:rsidR="00697F88">
              <w:t>concernés</w:t>
            </w:r>
            <w:r w:rsidR="008E64E4">
              <w:t>,</w:t>
            </w:r>
            <w:r w:rsidR="00697F88">
              <w:t xml:space="preserve"> </w:t>
            </w:r>
            <w:r w:rsidR="005750A0">
              <w:t>d’une part,</w:t>
            </w:r>
            <w:r w:rsidR="002D22B6">
              <w:t xml:space="preserve"> </w:t>
            </w:r>
            <w:r w:rsidR="008E498F">
              <w:t>et socialement acceptable</w:t>
            </w:r>
            <w:r w:rsidR="008E64E4">
              <w:t>,</w:t>
            </w:r>
            <w:r w:rsidR="002D22B6">
              <w:t xml:space="preserve"> </w:t>
            </w:r>
            <w:r w:rsidR="005750A0">
              <w:t>d’autre part</w:t>
            </w:r>
            <w:r w:rsidR="006357FC">
              <w:t>. S’ajoute à cela</w:t>
            </w:r>
            <w:r w:rsidR="00882E4A">
              <w:t xml:space="preserve"> un contexte inflationniste </w:t>
            </w:r>
            <w:r w:rsidR="006357FC">
              <w:t>qui pèse</w:t>
            </w:r>
            <w:r w:rsidR="00882E4A">
              <w:t xml:space="preserve"> </w:t>
            </w:r>
            <w:r w:rsidR="00882E4A">
              <w:rPr>
                <w:i/>
                <w:iCs/>
              </w:rPr>
              <w:t>de facto</w:t>
            </w:r>
            <w:r w:rsidR="00882E4A">
              <w:t xml:space="preserve"> sur le prix des services de mobilité</w:t>
            </w:r>
            <w:r w:rsidR="00886406" w:rsidRPr="00B732D4">
              <w:t xml:space="preserve"> à l’usager</w:t>
            </w:r>
            <w:r w:rsidR="005750A0" w:rsidRPr="00B732D4">
              <w:rPr>
                <w:rStyle w:val="Appelnotedebasdep"/>
              </w:rPr>
              <w:footnoteReference w:id="4"/>
            </w:r>
            <w:r w:rsidR="005750A0" w:rsidRPr="00B732D4">
              <w:t>.</w:t>
            </w:r>
          </w:p>
        </w:tc>
      </w:tr>
      <w:tr w:rsidR="00E975B3" w14:paraId="6B57BEA6" w14:textId="77777777" w:rsidTr="00725969">
        <w:tc>
          <w:tcPr>
            <w:tcW w:w="1418" w:type="dxa"/>
          </w:tcPr>
          <w:p w14:paraId="121C4D2E" w14:textId="0FBB2CF5" w:rsidR="006C4484" w:rsidRDefault="00E975B3" w:rsidP="002E2759">
            <w:r>
              <w:rPr>
                <w:noProof/>
              </w:rPr>
              <w:drawing>
                <wp:inline distT="0" distB="0" distL="0" distR="0" wp14:anchorId="1AB85D31" wp14:editId="6D4CEC79">
                  <wp:extent cx="482600" cy="482600"/>
                  <wp:effectExtent l="0" t="0" r="0" b="0"/>
                  <wp:docPr id="4" name="Graphique 4" descr="Étoile d'évaluation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Étoile d'évaluation avec un remplissage uni"/>
                          <pic:cNvPicPr/>
                        </pic:nvPicPr>
                        <pic:blipFill>
                          <a:blip r:embed="rId16">
                            <a:extLst>
                              <a:ext uri="{96DAC541-7B7A-43D3-8B79-37D633B846F1}">
                                <asvg:svgBlip xmlns:asvg="http://schemas.microsoft.com/office/drawing/2016/SVG/main" r:embed="rId17"/>
                              </a:ext>
                            </a:extLst>
                          </a:blip>
                          <a:stretch>
                            <a:fillRect/>
                          </a:stretch>
                        </pic:blipFill>
                        <pic:spPr>
                          <a:xfrm>
                            <a:off x="0" y="0"/>
                            <a:ext cx="486221" cy="486221"/>
                          </a:xfrm>
                          <a:prstGeom prst="rect">
                            <a:avLst/>
                          </a:prstGeom>
                        </pic:spPr>
                      </pic:pic>
                    </a:graphicData>
                  </a:graphic>
                </wp:inline>
              </w:drawing>
            </w:r>
          </w:p>
        </w:tc>
        <w:tc>
          <w:tcPr>
            <w:tcW w:w="7791" w:type="dxa"/>
          </w:tcPr>
          <w:p w14:paraId="5138E22C" w14:textId="025ABCA3" w:rsidR="003A1E39" w:rsidRPr="003A1E39" w:rsidRDefault="003A1E39" w:rsidP="00A57952">
            <w:pPr>
              <w:spacing w:after="120"/>
              <w:contextualSpacing w:val="0"/>
              <w:jc w:val="center"/>
              <w:rPr>
                <w:b/>
                <w:bCs/>
              </w:rPr>
            </w:pPr>
            <w:r w:rsidRPr="003A1E39">
              <w:rPr>
                <w:b/>
                <w:bCs/>
              </w:rPr>
              <w:t>Qualité de service</w:t>
            </w:r>
          </w:p>
          <w:p w14:paraId="62C99B4D" w14:textId="64BC1138" w:rsidR="006C4484" w:rsidRPr="006357FC" w:rsidRDefault="00594030" w:rsidP="002E2759">
            <w:pPr>
              <w:rPr>
                <w:b/>
              </w:rPr>
            </w:pPr>
            <w:r>
              <w:t xml:space="preserve">Enfin, la </w:t>
            </w:r>
            <w:r w:rsidRPr="00725969">
              <w:rPr>
                <w:b/>
                <w:bCs/>
              </w:rPr>
              <w:t>qualité des infrastructures et des services</w:t>
            </w:r>
            <w:r w:rsidR="00C208B5" w:rsidRPr="00725969">
              <w:rPr>
                <w:b/>
                <w:bCs/>
              </w:rPr>
              <w:t xml:space="preserve"> </w:t>
            </w:r>
            <w:r w:rsidR="008E64E4">
              <w:rPr>
                <w:b/>
                <w:bCs/>
              </w:rPr>
              <w:t xml:space="preserve">rendus </w:t>
            </w:r>
            <w:r w:rsidR="00C208B5" w:rsidRPr="00725969">
              <w:rPr>
                <w:b/>
                <w:bCs/>
              </w:rPr>
              <w:t>à l’usager</w:t>
            </w:r>
            <w:r w:rsidR="006357FC">
              <w:rPr>
                <w:b/>
                <w:bCs/>
              </w:rPr>
              <w:t xml:space="preserve"> </w:t>
            </w:r>
            <w:r w:rsidR="006357FC" w:rsidRPr="006357FC">
              <w:t>–</w:t>
            </w:r>
            <w:r w:rsidR="006357FC">
              <w:t xml:space="preserve"> voyageurs ou fret </w:t>
            </w:r>
            <w:r w:rsidR="006357FC" w:rsidRPr="006357FC">
              <w:t>–</w:t>
            </w:r>
            <w:r w:rsidR="00016688" w:rsidRPr="006357FC">
              <w:t xml:space="preserve"> </w:t>
            </w:r>
            <w:r w:rsidR="00734829">
              <w:t>c</w:t>
            </w:r>
            <w:r w:rsidR="005270D7">
              <w:t>onstitue un enjeu majeur</w:t>
            </w:r>
            <w:r w:rsidR="002D22B6">
              <w:t xml:space="preserve"> </w:t>
            </w:r>
            <w:r w:rsidR="00734829">
              <w:t>pour l’avenir du secteur</w:t>
            </w:r>
            <w:r w:rsidR="002D22B6">
              <w:t> </w:t>
            </w:r>
            <w:r w:rsidR="005270D7">
              <w:t xml:space="preserve">: </w:t>
            </w:r>
            <w:r w:rsidR="00734829">
              <w:t xml:space="preserve">état des infrastructures, </w:t>
            </w:r>
            <w:r w:rsidR="005D23ED">
              <w:t xml:space="preserve">disponibilité, accessibilité, </w:t>
            </w:r>
            <w:r w:rsidR="00C5629B">
              <w:t>co</w:t>
            </w:r>
            <w:r w:rsidR="00BE3F7F">
              <w:t>nditionn</w:t>
            </w:r>
            <w:r w:rsidR="00C5629B">
              <w:t>ent la compétitivité, la qualité et donc l’attractivité</w:t>
            </w:r>
            <w:r w:rsidR="00734829">
              <w:t xml:space="preserve"> </w:t>
            </w:r>
            <w:r w:rsidR="00C5629B">
              <w:t>d</w:t>
            </w:r>
            <w:r w:rsidR="00734829">
              <w:t xml:space="preserve">es transports </w:t>
            </w:r>
            <w:r w:rsidR="008E64E4">
              <w:t>collectifs</w:t>
            </w:r>
            <w:r w:rsidR="00734829">
              <w:t>,</w:t>
            </w:r>
            <w:r w:rsidR="005D23ED">
              <w:t xml:space="preserve"> essentiel</w:t>
            </w:r>
            <w:r w:rsidR="00C5629B">
              <w:t>le</w:t>
            </w:r>
            <w:r w:rsidR="005D23ED">
              <w:t xml:space="preserve"> </w:t>
            </w:r>
            <w:r w:rsidR="002A38AB">
              <w:t xml:space="preserve">pour </w:t>
            </w:r>
            <w:r w:rsidR="000779B3">
              <w:t xml:space="preserve">une mobilité durable et </w:t>
            </w:r>
            <w:r w:rsidR="00F71048">
              <w:t>en particulier</w:t>
            </w:r>
            <w:r w:rsidR="005C5720">
              <w:t xml:space="preserve"> </w:t>
            </w:r>
            <w:r w:rsidR="00CE5428">
              <w:t xml:space="preserve">l’atteinte </w:t>
            </w:r>
            <w:r w:rsidR="00734829">
              <w:t xml:space="preserve">des </w:t>
            </w:r>
            <w:r w:rsidR="00CE5428">
              <w:t>objectifs de neutralité carbone du secteur</w:t>
            </w:r>
            <w:r w:rsidR="004C5D98">
              <w:t xml:space="preserve">. </w:t>
            </w:r>
            <w:r w:rsidR="00753FD0">
              <w:t>Or,</w:t>
            </w:r>
            <w:r w:rsidR="0001187F">
              <w:t xml:space="preserve"> </w:t>
            </w:r>
            <w:r w:rsidR="00753FD0">
              <w:t>la qu</w:t>
            </w:r>
            <w:r w:rsidR="004C5D98">
              <w:t xml:space="preserve">alité de service des transports ferroviaires et aériens </w:t>
            </w:r>
            <w:r w:rsidR="00BE3F7F">
              <w:t>tend à se dégrader</w:t>
            </w:r>
            <w:r w:rsidR="005270D7">
              <w:rPr>
                <w:rStyle w:val="Appelnotedebasdep"/>
              </w:rPr>
              <w:footnoteReference w:id="5"/>
            </w:r>
            <w:r w:rsidR="005270D7">
              <w:t xml:space="preserve">, </w:t>
            </w:r>
            <w:r w:rsidR="00BE3F7F">
              <w:t xml:space="preserve">en raison </w:t>
            </w:r>
            <w:r w:rsidR="006A7AEF">
              <w:t xml:space="preserve">de </w:t>
            </w:r>
            <w:r w:rsidR="007F147C">
              <w:t xml:space="preserve">causes </w:t>
            </w:r>
            <w:r w:rsidR="004C5D98">
              <w:t xml:space="preserve">d’ordre </w:t>
            </w:r>
            <w:r w:rsidR="006A7AEF">
              <w:t xml:space="preserve">structurel </w:t>
            </w:r>
            <w:r w:rsidR="004C5D98">
              <w:t>(âge avancé du réseau ferroviaire</w:t>
            </w:r>
            <w:r w:rsidR="008E64E4">
              <w:t>,</w:t>
            </w:r>
            <w:r w:rsidR="004C5D98">
              <w:t xml:space="preserve"> par exemple) </w:t>
            </w:r>
            <w:r w:rsidR="007F147C">
              <w:t xml:space="preserve">mais aussi d’ordre </w:t>
            </w:r>
            <w:r w:rsidR="004C5D98">
              <w:t>conjoncturel (difficultés d’anticipation de la reprise post-covid</w:t>
            </w:r>
            <w:r w:rsidR="008E64E4">
              <w:t>,</w:t>
            </w:r>
            <w:r w:rsidR="00E11759">
              <w:t xml:space="preserve"> notamment</w:t>
            </w:r>
            <w:r w:rsidR="004C5D98">
              <w:t>).</w:t>
            </w:r>
          </w:p>
        </w:tc>
      </w:tr>
    </w:tbl>
    <w:p w14:paraId="4116A0AD" w14:textId="0EB0A1D0" w:rsidR="005E00E3" w:rsidRPr="00692D4E" w:rsidRDefault="005E00E3" w:rsidP="007E5A81">
      <w:pPr>
        <w:pStyle w:val="Emphase"/>
        <w:rPr>
          <w:u w:val="single"/>
        </w:rPr>
      </w:pPr>
      <w:r w:rsidRPr="00692D4E">
        <w:lastRenderedPageBreak/>
        <w:t xml:space="preserve">Vers un Acte II de la régulation des transports </w:t>
      </w:r>
    </w:p>
    <w:p w14:paraId="5BA54CE2" w14:textId="365F8C0B" w:rsidR="008F37FA" w:rsidRDefault="00E32353" w:rsidP="00821F82">
      <w:r>
        <w:rPr>
          <w:b/>
          <w:bCs/>
        </w:rPr>
        <w:t>L</w:t>
      </w:r>
      <w:r w:rsidR="00D76452">
        <w:rPr>
          <w:b/>
          <w:bCs/>
        </w:rPr>
        <w:t xml:space="preserve">es futures orientations stratégiques doivent </w:t>
      </w:r>
      <w:r w:rsidR="00156D2A">
        <w:rPr>
          <w:b/>
          <w:bCs/>
        </w:rPr>
        <w:t xml:space="preserve">fixer </w:t>
      </w:r>
      <w:r>
        <w:rPr>
          <w:b/>
          <w:bCs/>
        </w:rPr>
        <w:t xml:space="preserve">le </w:t>
      </w:r>
      <w:r w:rsidR="00D9607D" w:rsidRPr="003470AB">
        <w:rPr>
          <w:b/>
          <w:bCs/>
        </w:rPr>
        <w:t xml:space="preserve">cap </w:t>
      </w:r>
      <w:r>
        <w:rPr>
          <w:b/>
          <w:bCs/>
        </w:rPr>
        <w:t xml:space="preserve">de l’ART </w:t>
      </w:r>
      <w:r w:rsidR="003470AB">
        <w:rPr>
          <w:b/>
          <w:bCs/>
        </w:rPr>
        <w:t>pour les six prochaines années (2024-2029)</w:t>
      </w:r>
      <w:r w:rsidR="00D76452">
        <w:rPr>
          <w:b/>
          <w:bCs/>
        </w:rPr>
        <w:t xml:space="preserve">. </w:t>
      </w:r>
    </w:p>
    <w:p w14:paraId="28F20BD0" w14:textId="0A8C626F" w:rsidR="00D76452" w:rsidRDefault="00D76452" w:rsidP="00D76452">
      <w:pPr>
        <w:rPr>
          <w:b/>
        </w:rPr>
      </w:pPr>
      <w:r>
        <w:rPr>
          <w:b/>
        </w:rPr>
        <w:t>L</w:t>
      </w:r>
      <w:r w:rsidRPr="003470AB">
        <w:rPr>
          <w:b/>
        </w:rPr>
        <w:t xml:space="preserve">’ambition de </w:t>
      </w:r>
      <w:r w:rsidR="00CA4537">
        <w:rPr>
          <w:b/>
        </w:rPr>
        <w:t xml:space="preserve">cet </w:t>
      </w:r>
      <w:r w:rsidRPr="003470AB">
        <w:rPr>
          <w:b/>
        </w:rPr>
        <w:t xml:space="preserve">« acte II » de la régulation est </w:t>
      </w:r>
      <w:r>
        <w:rPr>
          <w:b/>
        </w:rPr>
        <w:t>double</w:t>
      </w:r>
      <w:r w:rsidR="008E64E4">
        <w:rPr>
          <w:b/>
        </w:rPr>
        <w:t> :</w:t>
      </w:r>
    </w:p>
    <w:p w14:paraId="04B2D84B" w14:textId="72E86AE1" w:rsidR="00D76452" w:rsidRDefault="00D76452" w:rsidP="00A7334B">
      <w:pPr>
        <w:pStyle w:val="Paragraphedeliste"/>
        <w:numPr>
          <w:ilvl w:val="0"/>
          <w:numId w:val="14"/>
        </w:numPr>
        <w:rPr>
          <w:bCs/>
        </w:rPr>
      </w:pPr>
      <w:r>
        <w:rPr>
          <w:b/>
        </w:rPr>
        <w:t xml:space="preserve">D’une part, </w:t>
      </w:r>
      <w:r w:rsidR="003777B8">
        <w:rPr>
          <w:b/>
        </w:rPr>
        <w:t>approfondir</w:t>
      </w:r>
      <w:r w:rsidRPr="00D76452">
        <w:rPr>
          <w:b/>
        </w:rPr>
        <w:t xml:space="preserve"> l’action de l’ART au service de la mobilité</w:t>
      </w:r>
      <w:r w:rsidR="003777B8">
        <w:rPr>
          <w:bCs/>
        </w:rPr>
        <w:t> </w:t>
      </w:r>
      <w:r w:rsidR="00964379">
        <w:rPr>
          <w:bCs/>
        </w:rPr>
        <w:t>:</w:t>
      </w:r>
    </w:p>
    <w:p w14:paraId="31DED8D7" w14:textId="77777777" w:rsidR="00D76452" w:rsidRPr="00D76452" w:rsidRDefault="00D76452" w:rsidP="00D76452">
      <w:pPr>
        <w:pStyle w:val="Paragraphedeliste"/>
        <w:rPr>
          <w:bCs/>
        </w:rPr>
      </w:pPr>
    </w:p>
    <w:p w14:paraId="2B19B449" w14:textId="73595EE3" w:rsidR="00D76452" w:rsidRDefault="00D76452" w:rsidP="00D76452">
      <w:pPr>
        <w:pStyle w:val="Paragraphedeliste"/>
        <w:rPr>
          <w:bCs/>
        </w:rPr>
      </w:pPr>
      <w:r w:rsidRPr="00D76452">
        <w:rPr>
          <w:bCs/>
        </w:rPr>
        <w:t>L’ART souhaite approfondir son action par une régulation incitant davantage les gestionnaires d’infrastructures</w:t>
      </w:r>
      <w:r w:rsidR="003777B8">
        <w:rPr>
          <w:bCs/>
        </w:rPr>
        <w:t xml:space="preserve"> et</w:t>
      </w:r>
      <w:r w:rsidRPr="00D76452">
        <w:rPr>
          <w:bCs/>
        </w:rPr>
        <w:t xml:space="preserve"> </w:t>
      </w:r>
      <w:r w:rsidR="003777B8">
        <w:rPr>
          <w:bCs/>
        </w:rPr>
        <w:t xml:space="preserve">de </w:t>
      </w:r>
      <w:r w:rsidRPr="00D76452">
        <w:rPr>
          <w:bCs/>
        </w:rPr>
        <w:t>facilités</w:t>
      </w:r>
      <w:r w:rsidR="007B3440">
        <w:rPr>
          <w:bCs/>
        </w:rPr>
        <w:t xml:space="preserve"> et</w:t>
      </w:r>
      <w:r w:rsidRPr="00D76452">
        <w:rPr>
          <w:bCs/>
        </w:rPr>
        <w:t xml:space="preserve"> </w:t>
      </w:r>
      <w:r w:rsidR="007B3440">
        <w:rPr>
          <w:bCs/>
        </w:rPr>
        <w:t>activités</w:t>
      </w:r>
      <w:r w:rsidR="007B3440" w:rsidRPr="00D76452">
        <w:rPr>
          <w:bCs/>
        </w:rPr>
        <w:t xml:space="preserve"> </w:t>
      </w:r>
      <w:r w:rsidRPr="00D76452">
        <w:rPr>
          <w:bCs/>
        </w:rPr>
        <w:t>essentielles en monopole à une gestion performante au bénéfice des usagers (maîtrise des coûts et des prix, qualité de service).</w:t>
      </w:r>
    </w:p>
    <w:p w14:paraId="38CF3524" w14:textId="003666BF" w:rsidR="00D76452" w:rsidRDefault="00D76452" w:rsidP="00D76452">
      <w:pPr>
        <w:pStyle w:val="Paragraphedeliste"/>
        <w:rPr>
          <w:bCs/>
        </w:rPr>
      </w:pPr>
    </w:p>
    <w:p w14:paraId="5CE35C2D" w14:textId="2027D91E" w:rsidR="00964379" w:rsidRPr="00964379" w:rsidRDefault="00D76452" w:rsidP="00A7334B">
      <w:pPr>
        <w:pStyle w:val="Paragraphedeliste"/>
        <w:numPr>
          <w:ilvl w:val="0"/>
          <w:numId w:val="14"/>
        </w:numPr>
        <w:rPr>
          <w:bCs/>
        </w:rPr>
      </w:pPr>
      <w:r>
        <w:rPr>
          <w:b/>
        </w:rPr>
        <w:t xml:space="preserve">D’autre part, </w:t>
      </w:r>
      <w:r w:rsidR="002E36FC">
        <w:rPr>
          <w:b/>
        </w:rPr>
        <w:t>s’inscrire pleinement</w:t>
      </w:r>
      <w:r w:rsidR="00964379">
        <w:rPr>
          <w:b/>
        </w:rPr>
        <w:t xml:space="preserve">, </w:t>
      </w:r>
      <w:r>
        <w:rPr>
          <w:b/>
        </w:rPr>
        <w:t>en tant qu’institution publique</w:t>
      </w:r>
      <w:r w:rsidR="00964379">
        <w:rPr>
          <w:b/>
        </w:rPr>
        <w:t xml:space="preserve">, </w:t>
      </w:r>
      <w:r w:rsidR="002E36FC">
        <w:rPr>
          <w:b/>
        </w:rPr>
        <w:t xml:space="preserve">dans </w:t>
      </w:r>
      <w:r w:rsidR="00964379">
        <w:rPr>
          <w:b/>
        </w:rPr>
        <w:t>l’écosystème des transports :</w:t>
      </w:r>
    </w:p>
    <w:p w14:paraId="468ABE9C" w14:textId="77777777" w:rsidR="00964379" w:rsidRPr="00964379" w:rsidRDefault="00964379" w:rsidP="00964379">
      <w:pPr>
        <w:pStyle w:val="Paragraphedeliste"/>
        <w:rPr>
          <w:bCs/>
        </w:rPr>
      </w:pPr>
    </w:p>
    <w:p w14:paraId="35BE6B75" w14:textId="36F762FC" w:rsidR="00964379" w:rsidRDefault="00964379" w:rsidP="00964379">
      <w:pPr>
        <w:pStyle w:val="Paragraphedeliste"/>
        <w:rPr>
          <w:bCs/>
        </w:rPr>
      </w:pPr>
      <w:r>
        <w:rPr>
          <w:bCs/>
        </w:rPr>
        <w:t xml:space="preserve">L’ART, </w:t>
      </w:r>
      <w:r w:rsidR="00EB3DC9">
        <w:rPr>
          <w:bCs/>
        </w:rPr>
        <w:t>dans son rôle d’</w:t>
      </w:r>
      <w:r>
        <w:rPr>
          <w:bCs/>
        </w:rPr>
        <w:t xml:space="preserve">autorité </w:t>
      </w:r>
      <w:r w:rsidR="00EB3DC9">
        <w:rPr>
          <w:bCs/>
        </w:rPr>
        <w:t xml:space="preserve">publique </w:t>
      </w:r>
      <w:r>
        <w:rPr>
          <w:bCs/>
        </w:rPr>
        <w:t>indépendante sert</w:t>
      </w:r>
      <w:r w:rsidR="007B3440">
        <w:rPr>
          <w:bCs/>
        </w:rPr>
        <w:t>,</w:t>
      </w:r>
      <w:r>
        <w:rPr>
          <w:bCs/>
        </w:rPr>
        <w:t xml:space="preserve"> par son action</w:t>
      </w:r>
      <w:r w:rsidR="00EB3DC9">
        <w:rPr>
          <w:bCs/>
        </w:rPr>
        <w:t xml:space="preserve"> de régulation</w:t>
      </w:r>
      <w:r w:rsidR="007B3440">
        <w:rPr>
          <w:bCs/>
        </w:rPr>
        <w:t>,</w:t>
      </w:r>
      <w:r>
        <w:rPr>
          <w:bCs/>
        </w:rPr>
        <w:t xml:space="preserve"> l’intérêt général</w:t>
      </w:r>
      <w:r w:rsidR="00B02FA6">
        <w:rPr>
          <w:bCs/>
        </w:rPr>
        <w:t xml:space="preserve"> </w:t>
      </w:r>
      <w:r w:rsidR="00F32525">
        <w:rPr>
          <w:bCs/>
        </w:rPr>
        <w:t>déclin</w:t>
      </w:r>
      <w:r w:rsidR="00740D76">
        <w:rPr>
          <w:bCs/>
        </w:rPr>
        <w:t>é</w:t>
      </w:r>
      <w:r w:rsidR="00F32525">
        <w:rPr>
          <w:bCs/>
        </w:rPr>
        <w:t xml:space="preserve"> </w:t>
      </w:r>
      <w:r w:rsidR="00B02FA6">
        <w:rPr>
          <w:bCs/>
        </w:rPr>
        <w:t>dans les objectifs de la politique des transports</w:t>
      </w:r>
      <w:r>
        <w:rPr>
          <w:bCs/>
        </w:rPr>
        <w:t xml:space="preserve">. De ce fait, ses liens et le dialogue qu’elle entretient avec l’ensemble des parties prenantes </w:t>
      </w:r>
      <w:r w:rsidR="00740D76">
        <w:rPr>
          <w:bCs/>
        </w:rPr>
        <w:t>sont</w:t>
      </w:r>
      <w:r>
        <w:rPr>
          <w:bCs/>
        </w:rPr>
        <w:t xml:space="preserve"> indispensable</w:t>
      </w:r>
      <w:r w:rsidR="00740D76">
        <w:rPr>
          <w:bCs/>
        </w:rPr>
        <w:t>s</w:t>
      </w:r>
      <w:r>
        <w:rPr>
          <w:bCs/>
        </w:rPr>
        <w:t xml:space="preserve"> à une action à la fois pertinente, efficace et impartiale.</w:t>
      </w:r>
    </w:p>
    <w:p w14:paraId="06788FC9" w14:textId="77777777" w:rsidR="00BF7310" w:rsidRDefault="00A80C4F" w:rsidP="00C662BF">
      <w:r>
        <w:rPr>
          <w:b/>
          <w:bCs/>
        </w:rPr>
        <w:t>Ce</w:t>
      </w:r>
      <w:r w:rsidR="002E2759" w:rsidRPr="004F719A">
        <w:rPr>
          <w:b/>
          <w:bCs/>
        </w:rPr>
        <w:t xml:space="preserve"> document</w:t>
      </w:r>
      <w:r w:rsidR="002E2759" w:rsidRPr="004F719A">
        <w:rPr>
          <w:b/>
        </w:rPr>
        <w:t xml:space="preserve"> a pour objet de recueillir l’opinion des acteurs</w:t>
      </w:r>
      <w:r w:rsidR="005369D8">
        <w:t>, à la fois sur le bilan et les priorités de l’ART pour les prochaines années</w:t>
      </w:r>
      <w:r w:rsidR="00BF7310">
        <w:t> :</w:t>
      </w:r>
    </w:p>
    <w:p w14:paraId="642D1678" w14:textId="77777777" w:rsidR="00BF7310" w:rsidRDefault="00EC12CC" w:rsidP="00BF7310">
      <w:pPr>
        <w:pStyle w:val="Paragraphedeliste"/>
        <w:numPr>
          <w:ilvl w:val="0"/>
          <w:numId w:val="14"/>
        </w:numPr>
      </w:pPr>
      <w:r>
        <w:t>Les parties prenantes sont ainsi invitées à répondre à 12 questions ouvertes</w:t>
      </w:r>
      <w:r w:rsidR="00D35CB9">
        <w:t xml:space="preserve"> afin de faire part de leurs réflexions et propositions</w:t>
      </w:r>
      <w:r>
        <w:t xml:space="preserve"> (partie 2)</w:t>
      </w:r>
      <w:r w:rsidR="00BF7310">
        <w:t> ;</w:t>
      </w:r>
    </w:p>
    <w:p w14:paraId="7D336FD3" w14:textId="77777777" w:rsidR="00BF7310" w:rsidRDefault="00BF7310" w:rsidP="00BF7310">
      <w:pPr>
        <w:pStyle w:val="Paragraphedeliste"/>
      </w:pPr>
    </w:p>
    <w:p w14:paraId="57AB8B67" w14:textId="41FD7578" w:rsidR="00BF7310" w:rsidRDefault="00C662BF" w:rsidP="00BF7310">
      <w:pPr>
        <w:pStyle w:val="Paragraphedeliste"/>
        <w:numPr>
          <w:ilvl w:val="0"/>
          <w:numId w:val="14"/>
        </w:numPr>
      </w:pPr>
      <w:r>
        <w:t xml:space="preserve">Est également proposée </w:t>
      </w:r>
      <w:r w:rsidR="00D35CB9">
        <w:t xml:space="preserve">par l’ART </w:t>
      </w:r>
      <w:r>
        <w:t xml:space="preserve">une première vision, </w:t>
      </w:r>
      <w:r w:rsidR="00D35CB9">
        <w:t xml:space="preserve">avec </w:t>
      </w:r>
      <w:r>
        <w:t xml:space="preserve">des éléments </w:t>
      </w:r>
      <w:r w:rsidR="00EC12CC">
        <w:t xml:space="preserve">d’éclairage </w:t>
      </w:r>
      <w:r w:rsidR="00D35CB9">
        <w:t>sur son bilan (</w:t>
      </w:r>
      <w:r w:rsidR="00EC12CC">
        <w:t>partie 3</w:t>
      </w:r>
      <w:r>
        <w:t xml:space="preserve">) et </w:t>
      </w:r>
      <w:r w:rsidR="00BF7310">
        <w:t xml:space="preserve">pistes de réflexion quant à ses priorités </w:t>
      </w:r>
      <w:r w:rsidR="00D35CB9">
        <w:t>pour l’avenir (</w:t>
      </w:r>
      <w:r>
        <w:t>partie 4)</w:t>
      </w:r>
      <w:r w:rsidR="002E2759" w:rsidRPr="003E71A1">
        <w:t>.</w:t>
      </w:r>
    </w:p>
    <w:p w14:paraId="291827AD" w14:textId="20A43C57" w:rsidR="002E2759" w:rsidRDefault="00462DC1" w:rsidP="00C662BF">
      <w:r w:rsidRPr="00EC12CC">
        <w:rPr>
          <w:bCs/>
        </w:rPr>
        <w:t xml:space="preserve">Les nouvelles orientations stratégiques seront présentées à </w:t>
      </w:r>
      <w:r w:rsidRPr="00BF7310">
        <w:rPr>
          <w:b/>
        </w:rPr>
        <w:t>l’été 2024</w:t>
      </w:r>
      <w:r w:rsidRPr="00EC12CC">
        <w:rPr>
          <w:bCs/>
        </w:rPr>
        <w:t>.</w:t>
      </w:r>
    </w:p>
    <w:bookmarkEnd w:id="1"/>
    <w:p w14:paraId="544B957F" w14:textId="77777777" w:rsidR="00FC04AB" w:rsidRDefault="00FC04AB">
      <w:pPr>
        <w:spacing w:before="0" w:after="0" w:line="280" w:lineRule="atLeast"/>
        <w:jc w:val="left"/>
      </w:pPr>
    </w:p>
    <w:p w14:paraId="10CEF4A4" w14:textId="77777777" w:rsidR="00FC04AB" w:rsidRDefault="00FC04AB">
      <w:pPr>
        <w:spacing w:before="0" w:after="0" w:line="280" w:lineRule="atLeast"/>
        <w:jc w:val="left"/>
      </w:pPr>
    </w:p>
    <w:p w14:paraId="33E41351" w14:textId="77777777" w:rsidR="00FC04AB" w:rsidRDefault="00FC04AB">
      <w:pPr>
        <w:spacing w:before="0" w:after="0" w:line="280" w:lineRule="atLeast"/>
        <w:jc w:val="left"/>
      </w:pPr>
    </w:p>
    <w:p w14:paraId="415E9382" w14:textId="77777777" w:rsidR="00FC04AB" w:rsidRDefault="00FC04AB">
      <w:pPr>
        <w:spacing w:before="0" w:after="0" w:line="280" w:lineRule="atLeast"/>
        <w:jc w:val="left"/>
      </w:pPr>
    </w:p>
    <w:p w14:paraId="0BB9152F" w14:textId="77777777" w:rsidR="00FC04AB" w:rsidRDefault="00FC04AB">
      <w:pPr>
        <w:spacing w:before="0" w:after="0" w:line="280" w:lineRule="atLeast"/>
        <w:jc w:val="left"/>
      </w:pPr>
    </w:p>
    <w:p w14:paraId="5B708CBA" w14:textId="77777777" w:rsidR="00FC04AB" w:rsidRDefault="00FC04AB">
      <w:pPr>
        <w:spacing w:before="0" w:after="0" w:line="280" w:lineRule="atLeast"/>
        <w:jc w:val="left"/>
      </w:pPr>
    </w:p>
    <w:p w14:paraId="0E1602CF" w14:textId="77777777" w:rsidR="00FC04AB" w:rsidRDefault="00FC04AB">
      <w:pPr>
        <w:spacing w:before="0" w:after="0" w:line="280" w:lineRule="atLeast"/>
        <w:jc w:val="left"/>
      </w:pPr>
    </w:p>
    <w:p w14:paraId="20D161F1" w14:textId="77777777" w:rsidR="00FC04AB" w:rsidRDefault="00FC04AB">
      <w:pPr>
        <w:spacing w:before="0" w:after="0" w:line="280" w:lineRule="atLeast"/>
        <w:jc w:val="left"/>
      </w:pPr>
    </w:p>
    <w:p w14:paraId="39030FD8" w14:textId="77777777" w:rsidR="00FC04AB" w:rsidRDefault="00FC04AB">
      <w:pPr>
        <w:spacing w:before="0" w:after="0" w:line="280" w:lineRule="atLeast"/>
        <w:jc w:val="left"/>
      </w:pPr>
    </w:p>
    <w:p w14:paraId="03DA3631" w14:textId="77777777" w:rsidR="00FC04AB" w:rsidRDefault="00FC04AB">
      <w:pPr>
        <w:spacing w:before="0" w:after="0" w:line="280" w:lineRule="atLeast"/>
        <w:jc w:val="left"/>
      </w:pPr>
    </w:p>
    <w:p w14:paraId="08A978DC" w14:textId="77777777" w:rsidR="00FC04AB" w:rsidRDefault="00FC04AB">
      <w:pPr>
        <w:spacing w:before="0" w:after="0" w:line="280" w:lineRule="atLeast"/>
        <w:jc w:val="left"/>
      </w:pPr>
    </w:p>
    <w:p w14:paraId="56FB01E9" w14:textId="77777777" w:rsidR="00FC04AB" w:rsidRDefault="00FC04AB">
      <w:pPr>
        <w:spacing w:before="0" w:after="0" w:line="280" w:lineRule="atLeast"/>
        <w:jc w:val="left"/>
      </w:pPr>
    </w:p>
    <w:p w14:paraId="0FFE3236" w14:textId="77777777" w:rsidR="00FC04AB" w:rsidRDefault="00FC04AB">
      <w:pPr>
        <w:spacing w:before="0" w:after="0" w:line="280" w:lineRule="atLeast"/>
        <w:jc w:val="left"/>
      </w:pPr>
    </w:p>
    <w:p w14:paraId="2EA558C8" w14:textId="77777777" w:rsidR="00FC04AB" w:rsidRDefault="00FC04AB">
      <w:pPr>
        <w:spacing w:before="0" w:after="0" w:line="280" w:lineRule="atLeast"/>
        <w:jc w:val="left"/>
      </w:pPr>
    </w:p>
    <w:p w14:paraId="48E10E49" w14:textId="77777777" w:rsidR="00FC04AB" w:rsidRDefault="00FC04AB">
      <w:pPr>
        <w:spacing w:before="0" w:after="0" w:line="280" w:lineRule="atLeast"/>
        <w:jc w:val="left"/>
      </w:pPr>
    </w:p>
    <w:p w14:paraId="2350E31A" w14:textId="77777777" w:rsidR="00FC04AB" w:rsidRDefault="00FC04AB">
      <w:pPr>
        <w:spacing w:before="0" w:after="0" w:line="280" w:lineRule="atLeast"/>
        <w:jc w:val="left"/>
      </w:pPr>
    </w:p>
    <w:p w14:paraId="2E01F3A7" w14:textId="77777777" w:rsidR="00FC04AB" w:rsidRDefault="00FC04AB">
      <w:pPr>
        <w:spacing w:before="0" w:after="0" w:line="280" w:lineRule="atLeast"/>
        <w:jc w:val="left"/>
      </w:pPr>
    </w:p>
    <w:p w14:paraId="6F30D1FD" w14:textId="77777777" w:rsidR="00FC04AB" w:rsidRDefault="00FC04AB">
      <w:pPr>
        <w:spacing w:before="0" w:after="0" w:line="280" w:lineRule="atLeast"/>
        <w:jc w:val="left"/>
      </w:pPr>
    </w:p>
    <w:p w14:paraId="28EFF0AE" w14:textId="77777777" w:rsidR="00FC04AB" w:rsidRDefault="00FC04AB">
      <w:pPr>
        <w:spacing w:before="0" w:after="0" w:line="280" w:lineRule="atLeast"/>
        <w:jc w:val="left"/>
      </w:pPr>
    </w:p>
    <w:p w14:paraId="54C4F1C8" w14:textId="77777777" w:rsidR="00FC04AB" w:rsidRDefault="00FC04AB">
      <w:pPr>
        <w:spacing w:before="0" w:after="0" w:line="280" w:lineRule="atLeast"/>
        <w:jc w:val="left"/>
      </w:pPr>
    </w:p>
    <w:p w14:paraId="51AC7874" w14:textId="77777777" w:rsidR="00FC04AB" w:rsidRDefault="00FC04AB" w:rsidP="00927BE1"/>
    <w:p w14:paraId="1DDD5234" w14:textId="623177E7" w:rsidR="00FC04AB" w:rsidRDefault="0083296C" w:rsidP="00F25DB7">
      <w:pPr>
        <w:pStyle w:val="Titre1"/>
      </w:pPr>
      <w:bookmarkStart w:id="2" w:name="_Toc156394034"/>
      <w:r w:rsidRPr="00EC12CC">
        <w:lastRenderedPageBreak/>
        <w:t xml:space="preserve">Questions </w:t>
      </w:r>
      <w:r w:rsidR="00EC12CC" w:rsidRPr="00EC12CC">
        <w:t>aux parties prenantes</w:t>
      </w:r>
      <w:r w:rsidR="00D35CB9">
        <w:t> : quel</w:t>
      </w:r>
      <w:r w:rsidR="00F25DB7">
        <w:t xml:space="preserve">s </w:t>
      </w:r>
      <w:r w:rsidR="00EC12CC" w:rsidRPr="00EC12CC">
        <w:t>futurs possibles pour l’action de l’art</w:t>
      </w:r>
      <w:r w:rsidR="00D35CB9">
        <w:t> ?</w:t>
      </w:r>
      <w:bookmarkEnd w:id="2"/>
    </w:p>
    <w:p w14:paraId="7D92D9A4" w14:textId="6F8C7894" w:rsidR="00EC12CC" w:rsidRPr="00EC12CC" w:rsidRDefault="00D35CB9" w:rsidP="00EC12CC">
      <w:r>
        <w:t>Les questions ci-dessous</w:t>
      </w:r>
      <w:r w:rsidR="005C0B76">
        <w:t xml:space="preserve"> </w:t>
      </w:r>
      <w:r w:rsidR="00805416">
        <w:t xml:space="preserve">invitent les parties prenantes </w:t>
      </w:r>
      <w:r w:rsidR="00336CFF">
        <w:t xml:space="preserve">à </w:t>
      </w:r>
      <w:r w:rsidR="00805416">
        <w:t xml:space="preserve">une réflexion </w:t>
      </w:r>
      <w:r w:rsidR="005C0B76">
        <w:t xml:space="preserve">large et </w:t>
      </w:r>
      <w:r w:rsidR="00805416">
        <w:t>ouverte</w:t>
      </w:r>
      <w:r w:rsidR="005C0B76">
        <w:t xml:space="preserve"> visant à alimenter l’ART dans l’élaboration de son futur projet stratégique</w:t>
      </w:r>
      <w:r>
        <w:t>.</w:t>
      </w:r>
    </w:p>
    <w:p w14:paraId="4EA76510" w14:textId="77777777" w:rsidR="00FC04AB" w:rsidRPr="00A4300E" w:rsidRDefault="00FC04AB" w:rsidP="00FC04AB">
      <w:pPr>
        <w:pStyle w:val="Emphase"/>
        <w:keepNext/>
        <w:rPr>
          <w:b w:val="0"/>
          <w:bCs/>
        </w:rPr>
      </w:pPr>
      <w:r w:rsidRPr="00A4300E">
        <w:t>I. La démarche</w:t>
      </w:r>
    </w:p>
    <w:p w14:paraId="06DCFE4B" w14:textId="2DA110A4" w:rsidR="00FC04AB" w:rsidRPr="00621A84" w:rsidRDefault="00FC04AB" w:rsidP="00FC04AB">
      <w:pPr>
        <w:rPr>
          <w:shd w:val="clear" w:color="auto" w:fill="FFFFFF" w:themeFill="background1"/>
        </w:rPr>
      </w:pPr>
      <w:r w:rsidRPr="00621A84">
        <w:t>1. La démarche d’élaboration d</w:t>
      </w:r>
      <w:r w:rsidR="00984581">
        <w:t>e se</w:t>
      </w:r>
      <w:r w:rsidR="00EC12CC">
        <w:t xml:space="preserve">s </w:t>
      </w:r>
      <w:r w:rsidR="00984581">
        <w:t xml:space="preserve">futures </w:t>
      </w:r>
      <w:r w:rsidRPr="00621A84">
        <w:t>orientations stratégiques par l’ART appelle-t-elle des remarques de votre part</w:t>
      </w:r>
      <w:r w:rsidRPr="00621A84">
        <w:rPr>
          <w:shd w:val="clear" w:color="auto" w:fill="FFFFFF" w:themeFill="background1"/>
        </w:rPr>
        <w:t> ?</w:t>
      </w:r>
    </w:p>
    <w:tbl>
      <w:tblPr>
        <w:tblStyle w:val="Grilledetableauclaire"/>
        <w:tblW w:w="0" w:type="auto"/>
        <w:tblLook w:val="04A0" w:firstRow="1" w:lastRow="0" w:firstColumn="1" w:lastColumn="0" w:noHBand="0" w:noVBand="1"/>
      </w:tblPr>
      <w:tblGrid>
        <w:gridCol w:w="9060"/>
      </w:tblGrid>
      <w:tr w:rsidR="00FC04AB" w14:paraId="0CA11319" w14:textId="77777777" w:rsidTr="005C42B5">
        <w:tc>
          <w:tcPr>
            <w:tcW w:w="9060" w:type="dxa"/>
          </w:tcPr>
          <w:p w14:paraId="671430CD" w14:textId="77777777" w:rsidR="00FC04AB" w:rsidRDefault="00FC04AB" w:rsidP="005C42B5">
            <w:pPr>
              <w:rPr>
                <w:shd w:val="clear" w:color="auto" w:fill="FFFFFF" w:themeFill="background1"/>
              </w:rPr>
            </w:pPr>
            <w:bookmarkStart w:id="3" w:name="_Hlk156170082"/>
          </w:p>
        </w:tc>
      </w:tr>
      <w:bookmarkEnd w:id="3"/>
    </w:tbl>
    <w:p w14:paraId="1A666BC5" w14:textId="77777777" w:rsidR="00FC04AB" w:rsidRPr="00621A84" w:rsidRDefault="00FC04AB" w:rsidP="00FC04AB">
      <w:pPr>
        <w:spacing w:before="0"/>
        <w:rPr>
          <w:shd w:val="clear" w:color="auto" w:fill="FFFFFF" w:themeFill="background1"/>
        </w:rPr>
      </w:pPr>
    </w:p>
    <w:p w14:paraId="66411531" w14:textId="77777777" w:rsidR="00FC04AB" w:rsidRPr="00A4300E" w:rsidRDefault="00FC04AB" w:rsidP="00FC04AB">
      <w:pPr>
        <w:pStyle w:val="Emphase"/>
        <w:keepNext/>
        <w:rPr>
          <w:b w:val="0"/>
          <w:bCs/>
        </w:rPr>
      </w:pPr>
      <w:r w:rsidRPr="00A4300E">
        <w:t xml:space="preserve">II. </w:t>
      </w:r>
      <w:r w:rsidRPr="00A4300E">
        <w:rPr>
          <w:bCs/>
        </w:rPr>
        <w:t>L’action de l’Autorité de régulation des transports</w:t>
      </w:r>
    </w:p>
    <w:p w14:paraId="69D6F495" w14:textId="77777777" w:rsidR="00FC04AB" w:rsidRPr="00A4300E" w:rsidRDefault="00FC04AB" w:rsidP="00FC04AB">
      <w:pPr>
        <w:pStyle w:val="Emphase"/>
        <w:keepNext/>
        <w:rPr>
          <w:b w:val="0"/>
          <w:bCs/>
        </w:rPr>
      </w:pPr>
      <w:r w:rsidRPr="00A4300E">
        <w:t xml:space="preserve">a) </w:t>
      </w:r>
      <w:r w:rsidRPr="00A4300E">
        <w:rPr>
          <w:bCs/>
        </w:rPr>
        <w:t>Bilan de la contribution de l’ART à la mobilité et au secteur des transports</w:t>
      </w:r>
    </w:p>
    <w:p w14:paraId="7671D4AA" w14:textId="77777777" w:rsidR="00FC04AB" w:rsidRDefault="00FC04AB" w:rsidP="00FC04AB">
      <w:pPr>
        <w:spacing w:before="120" w:after="120"/>
      </w:pPr>
      <w:r w:rsidRPr="00621A84">
        <w:t>2. De manière générale, comment percevez-vous l’ART et sa contribution au bon fonctionnement du secteur des transports ?</w:t>
      </w:r>
    </w:p>
    <w:tbl>
      <w:tblPr>
        <w:tblStyle w:val="Grilledetableauclaire"/>
        <w:tblW w:w="0" w:type="auto"/>
        <w:tblLook w:val="04A0" w:firstRow="1" w:lastRow="0" w:firstColumn="1" w:lastColumn="0" w:noHBand="0" w:noVBand="1"/>
      </w:tblPr>
      <w:tblGrid>
        <w:gridCol w:w="9060"/>
      </w:tblGrid>
      <w:tr w:rsidR="00FC04AB" w14:paraId="5F2564CE" w14:textId="77777777" w:rsidTr="005C42B5">
        <w:tc>
          <w:tcPr>
            <w:tcW w:w="9060" w:type="dxa"/>
          </w:tcPr>
          <w:p w14:paraId="07F8641D" w14:textId="77777777" w:rsidR="00FC04AB" w:rsidRDefault="00FC04AB" w:rsidP="005C42B5">
            <w:pPr>
              <w:rPr>
                <w:shd w:val="clear" w:color="auto" w:fill="FFFFFF" w:themeFill="background1"/>
              </w:rPr>
            </w:pPr>
          </w:p>
        </w:tc>
      </w:tr>
    </w:tbl>
    <w:p w14:paraId="64E69F3B" w14:textId="77777777" w:rsidR="00FC04AB" w:rsidRDefault="00FC04AB" w:rsidP="00FC04AB">
      <w:pPr>
        <w:spacing w:before="120" w:after="120"/>
      </w:pPr>
      <w:r w:rsidRPr="00621A84">
        <w:t xml:space="preserve">3. Quel bilan tirez-vous de l’action passée de l’ART ces dernières années ? </w:t>
      </w:r>
      <w:r>
        <w:t>Vous pouvez en particulier</w:t>
      </w:r>
      <w:r w:rsidRPr="00621A84">
        <w:t xml:space="preserve"> préciser ses réalisations les plus marquantes</w:t>
      </w:r>
      <w:r>
        <w:t xml:space="preserve"> de votre point de vue</w:t>
      </w:r>
      <w:r w:rsidRPr="00621A84">
        <w:t>, ayant eu un effet notable sur les secteurs qu’elle régule, et celles qui vous ont semblé moins efficaces ou pertinentes.</w:t>
      </w:r>
    </w:p>
    <w:tbl>
      <w:tblPr>
        <w:tblStyle w:val="Grilledetableauclaire"/>
        <w:tblW w:w="0" w:type="auto"/>
        <w:tblLook w:val="04A0" w:firstRow="1" w:lastRow="0" w:firstColumn="1" w:lastColumn="0" w:noHBand="0" w:noVBand="1"/>
      </w:tblPr>
      <w:tblGrid>
        <w:gridCol w:w="9060"/>
      </w:tblGrid>
      <w:tr w:rsidR="00FC04AB" w14:paraId="498EBDC3" w14:textId="77777777" w:rsidTr="005C42B5">
        <w:tc>
          <w:tcPr>
            <w:tcW w:w="9060" w:type="dxa"/>
          </w:tcPr>
          <w:p w14:paraId="7E7780A2" w14:textId="77777777" w:rsidR="00FC04AB" w:rsidRDefault="00FC04AB" w:rsidP="005C42B5">
            <w:pPr>
              <w:rPr>
                <w:shd w:val="clear" w:color="auto" w:fill="FFFFFF" w:themeFill="background1"/>
              </w:rPr>
            </w:pPr>
          </w:p>
        </w:tc>
      </w:tr>
    </w:tbl>
    <w:p w14:paraId="0412C5E0" w14:textId="77777777" w:rsidR="00FC04AB" w:rsidRPr="00621A84" w:rsidRDefault="00FC04AB" w:rsidP="00FC04AB">
      <w:pPr>
        <w:spacing w:before="0" w:after="120"/>
      </w:pPr>
    </w:p>
    <w:p w14:paraId="5F3DC24B" w14:textId="77777777" w:rsidR="00FC04AB" w:rsidRPr="00A4300E" w:rsidRDefault="00FC04AB" w:rsidP="00FC04AB">
      <w:pPr>
        <w:pStyle w:val="Emphase"/>
        <w:keepNext/>
        <w:rPr>
          <w:b w:val="0"/>
          <w:bCs/>
        </w:rPr>
      </w:pPr>
      <w:r w:rsidRPr="00A4300E">
        <w:t xml:space="preserve">b) </w:t>
      </w:r>
      <w:r w:rsidRPr="00A4300E">
        <w:rPr>
          <w:bCs/>
        </w:rPr>
        <w:t>Place dans l’écosystème des transports et relations avec les parties prenantes</w:t>
      </w:r>
    </w:p>
    <w:p w14:paraId="5F539F9F" w14:textId="58DEC05D" w:rsidR="00FC04AB" w:rsidRPr="00621A84" w:rsidRDefault="00FC04AB" w:rsidP="00FC04AB">
      <w:pPr>
        <w:spacing w:before="120" w:after="120"/>
      </w:pPr>
      <w:r w:rsidRPr="00621A84">
        <w:t>4. La place que l’ART occupe dans son écosystème et les liens qu</w:t>
      </w:r>
      <w:r>
        <w:t>’elle</w:t>
      </w:r>
      <w:r w:rsidRPr="00621A84">
        <w:t xml:space="preserve"> entretient avec les autres acteurs du secteur des transports vous paraissent-</w:t>
      </w:r>
      <w:r>
        <w:t>il</w:t>
      </w:r>
      <w:r w:rsidRPr="00621A84">
        <w:t>s permettre une action efficace ?</w:t>
      </w:r>
    </w:p>
    <w:tbl>
      <w:tblPr>
        <w:tblStyle w:val="Grilledetableauclaire"/>
        <w:tblW w:w="0" w:type="auto"/>
        <w:tblLook w:val="04A0" w:firstRow="1" w:lastRow="0" w:firstColumn="1" w:lastColumn="0" w:noHBand="0" w:noVBand="1"/>
      </w:tblPr>
      <w:tblGrid>
        <w:gridCol w:w="9060"/>
      </w:tblGrid>
      <w:tr w:rsidR="00FC04AB" w14:paraId="1F54F3F0" w14:textId="77777777" w:rsidTr="005C42B5">
        <w:tc>
          <w:tcPr>
            <w:tcW w:w="9060" w:type="dxa"/>
          </w:tcPr>
          <w:p w14:paraId="261F7194" w14:textId="77777777" w:rsidR="00FC04AB" w:rsidRDefault="00FC04AB" w:rsidP="005C42B5">
            <w:pPr>
              <w:rPr>
                <w:shd w:val="clear" w:color="auto" w:fill="FFFFFF" w:themeFill="background1"/>
              </w:rPr>
            </w:pPr>
          </w:p>
        </w:tc>
      </w:tr>
    </w:tbl>
    <w:p w14:paraId="5690D13E" w14:textId="77777777" w:rsidR="00FC04AB" w:rsidRDefault="00FC04AB" w:rsidP="00FC04AB">
      <w:pPr>
        <w:spacing w:before="120" w:after="120"/>
      </w:pPr>
      <w:r w:rsidRPr="00621A84">
        <w:t>5. Les pratiques et modalités de travail mises en place par l’ART vous semblent-elles adéquates, à la fois efficaces et adaptées</w:t>
      </w:r>
      <w:r>
        <w:t>,</w:t>
      </w:r>
      <w:r w:rsidRPr="00621A84">
        <w:t xml:space="preserve"> à son rôle et à son statut de régulateur économique indépendant</w:t>
      </w:r>
      <w:r>
        <w:t> </w:t>
      </w:r>
      <w:r w:rsidRPr="00621A84">
        <w:t xml:space="preserve">? </w:t>
      </w:r>
      <w:r>
        <w:t>Vous pouvez en particulier</w:t>
      </w:r>
      <w:r w:rsidRPr="00621A84">
        <w:t xml:space="preserve"> préciser les éléments qui vous semblent particulièrement importants à conserver et ceux qui peuvent</w:t>
      </w:r>
      <w:r>
        <w:t>,</w:t>
      </w:r>
      <w:r w:rsidRPr="00621A84">
        <w:t xml:space="preserve"> le cas échéant</w:t>
      </w:r>
      <w:r>
        <w:t>,</w:t>
      </w:r>
      <w:r w:rsidRPr="00621A84">
        <w:t xml:space="preserve"> être améliorés.</w:t>
      </w:r>
    </w:p>
    <w:tbl>
      <w:tblPr>
        <w:tblStyle w:val="Grilledetableauclaire"/>
        <w:tblW w:w="0" w:type="auto"/>
        <w:tblLook w:val="04A0" w:firstRow="1" w:lastRow="0" w:firstColumn="1" w:lastColumn="0" w:noHBand="0" w:noVBand="1"/>
      </w:tblPr>
      <w:tblGrid>
        <w:gridCol w:w="9060"/>
      </w:tblGrid>
      <w:tr w:rsidR="00FC04AB" w14:paraId="0F05B15D" w14:textId="77777777" w:rsidTr="005C42B5">
        <w:tc>
          <w:tcPr>
            <w:tcW w:w="9060" w:type="dxa"/>
          </w:tcPr>
          <w:p w14:paraId="0CB8223A" w14:textId="77777777" w:rsidR="00FC04AB" w:rsidRDefault="00FC04AB" w:rsidP="005C42B5">
            <w:pPr>
              <w:rPr>
                <w:shd w:val="clear" w:color="auto" w:fill="FFFFFF" w:themeFill="background1"/>
              </w:rPr>
            </w:pPr>
          </w:p>
        </w:tc>
      </w:tr>
    </w:tbl>
    <w:p w14:paraId="750FB809" w14:textId="7486A2F2" w:rsidR="00FC04AB" w:rsidRDefault="00FC04AB" w:rsidP="00FC04AB">
      <w:pPr>
        <w:keepNext/>
        <w:spacing w:before="120" w:after="120"/>
      </w:pPr>
      <w:r w:rsidRPr="00621A84">
        <w:t>6. Identifiez-vous des outils de régulation (lignes directrices, recommandations, auditions, etc.) qui vous semblent pouvoir être utilisés davantage ou différemment ?</w:t>
      </w:r>
    </w:p>
    <w:tbl>
      <w:tblPr>
        <w:tblStyle w:val="Grilledetableauclaire"/>
        <w:tblW w:w="0" w:type="auto"/>
        <w:tblLook w:val="04A0" w:firstRow="1" w:lastRow="0" w:firstColumn="1" w:lastColumn="0" w:noHBand="0" w:noVBand="1"/>
      </w:tblPr>
      <w:tblGrid>
        <w:gridCol w:w="9060"/>
      </w:tblGrid>
      <w:tr w:rsidR="00FC04AB" w14:paraId="5C9B220D" w14:textId="77777777" w:rsidTr="005C42B5">
        <w:tc>
          <w:tcPr>
            <w:tcW w:w="9060" w:type="dxa"/>
          </w:tcPr>
          <w:p w14:paraId="771430A5" w14:textId="77777777" w:rsidR="00FC04AB" w:rsidRDefault="00FC04AB" w:rsidP="005C42B5">
            <w:pPr>
              <w:rPr>
                <w:shd w:val="clear" w:color="auto" w:fill="FFFFFF" w:themeFill="background1"/>
              </w:rPr>
            </w:pPr>
          </w:p>
        </w:tc>
      </w:tr>
    </w:tbl>
    <w:p w14:paraId="46762D28" w14:textId="77777777" w:rsidR="00FC04AB" w:rsidRPr="00621A84" w:rsidRDefault="00FC04AB" w:rsidP="00FC04AB">
      <w:pPr>
        <w:pStyle w:val="Emphase"/>
        <w:keepNext/>
        <w:rPr>
          <w:b w:val="0"/>
          <w:bCs/>
          <w:u w:val="single"/>
        </w:rPr>
      </w:pPr>
      <w:r w:rsidRPr="00D02DE6">
        <w:lastRenderedPageBreak/>
        <w:t>III. Les enjeux et priorités pour l’avenir</w:t>
      </w:r>
    </w:p>
    <w:p w14:paraId="3EAF289B" w14:textId="77777777" w:rsidR="00FC04AB" w:rsidRPr="00621A84" w:rsidRDefault="00FC04AB" w:rsidP="00FC04AB">
      <w:pPr>
        <w:spacing w:before="120" w:after="120"/>
      </w:pPr>
      <w:r w:rsidRPr="00621A84">
        <w:t xml:space="preserve">7. Les </w:t>
      </w:r>
      <w:r>
        <w:t>trois axes présentés ci-dessus (maîtrise des prix et qualité de service, transition écologique, approche multimodale de la régulation)</w:t>
      </w:r>
      <w:r w:rsidRPr="00621A84">
        <w:t xml:space="preserve"> vous paraissent-ils couvrir les enjeux du secteur des transports pour les prochaines années ? Si non, quels autres grands enjeux de la mobilité identifiez-vous ?</w:t>
      </w:r>
    </w:p>
    <w:tbl>
      <w:tblPr>
        <w:tblStyle w:val="Grilledetableauclaire"/>
        <w:tblW w:w="0" w:type="auto"/>
        <w:tblLook w:val="04A0" w:firstRow="1" w:lastRow="0" w:firstColumn="1" w:lastColumn="0" w:noHBand="0" w:noVBand="1"/>
      </w:tblPr>
      <w:tblGrid>
        <w:gridCol w:w="9060"/>
      </w:tblGrid>
      <w:tr w:rsidR="00FC04AB" w14:paraId="2F880E42" w14:textId="77777777" w:rsidTr="005C42B5">
        <w:tc>
          <w:tcPr>
            <w:tcW w:w="9060" w:type="dxa"/>
          </w:tcPr>
          <w:p w14:paraId="60B58A50" w14:textId="77777777" w:rsidR="00FC04AB" w:rsidRDefault="00FC04AB" w:rsidP="005C42B5">
            <w:pPr>
              <w:rPr>
                <w:shd w:val="clear" w:color="auto" w:fill="FFFFFF" w:themeFill="background1"/>
              </w:rPr>
            </w:pPr>
          </w:p>
        </w:tc>
      </w:tr>
    </w:tbl>
    <w:p w14:paraId="06166816" w14:textId="6C262515" w:rsidR="00FC04AB" w:rsidRPr="00621A84" w:rsidRDefault="00FC04AB" w:rsidP="00FC04AB">
      <w:pPr>
        <w:spacing w:before="120" w:after="120"/>
      </w:pPr>
      <w:r w:rsidRPr="00621A84">
        <w:t xml:space="preserve">8. Concrètement, quels sont les champs/enjeux (généraux ou sectoriels) sur lesquels l’ART, en tant que régulateur économique </w:t>
      </w:r>
      <w:r>
        <w:t>sectoriel</w:t>
      </w:r>
      <w:r w:rsidRPr="00621A84">
        <w:t xml:space="preserve">, devrait prioritairement </w:t>
      </w:r>
      <w:r>
        <w:t xml:space="preserve">faire </w:t>
      </w:r>
      <w:r w:rsidRPr="00621A84">
        <w:t>porter son action pour un meilleur fonctionnement du secteur</w:t>
      </w:r>
      <w:r>
        <w:t xml:space="preserve"> des transports</w:t>
      </w:r>
      <w:r w:rsidRPr="00621A84">
        <w:t xml:space="preserve"> et</w:t>
      </w:r>
      <w:r>
        <w:t>,</w:t>
      </w:r>
      <w:r w:rsidRPr="00621A84">
        <w:t xml:space="preserve"> </w:t>
      </w:r>
      <w:r w:rsidRPr="00621A84">
        <w:rPr>
          <w:i/>
          <w:iCs/>
        </w:rPr>
        <w:t>in fine</w:t>
      </w:r>
      <w:r>
        <w:rPr>
          <w:i/>
          <w:iCs/>
        </w:rPr>
        <w:t>,</w:t>
      </w:r>
      <w:r w:rsidRPr="00621A84">
        <w:t xml:space="preserve"> au bénéfice des usagers ? </w:t>
      </w:r>
    </w:p>
    <w:tbl>
      <w:tblPr>
        <w:tblStyle w:val="Grilledetableauclaire"/>
        <w:tblW w:w="0" w:type="auto"/>
        <w:tblLook w:val="04A0" w:firstRow="1" w:lastRow="0" w:firstColumn="1" w:lastColumn="0" w:noHBand="0" w:noVBand="1"/>
      </w:tblPr>
      <w:tblGrid>
        <w:gridCol w:w="9060"/>
      </w:tblGrid>
      <w:tr w:rsidR="00FC04AB" w14:paraId="3CEB3874" w14:textId="77777777" w:rsidTr="005C42B5">
        <w:tc>
          <w:tcPr>
            <w:tcW w:w="9060" w:type="dxa"/>
          </w:tcPr>
          <w:p w14:paraId="24A3D9E7" w14:textId="77777777" w:rsidR="00FC04AB" w:rsidRDefault="00FC04AB" w:rsidP="005C42B5">
            <w:pPr>
              <w:rPr>
                <w:shd w:val="clear" w:color="auto" w:fill="FFFFFF" w:themeFill="background1"/>
              </w:rPr>
            </w:pPr>
          </w:p>
        </w:tc>
      </w:tr>
    </w:tbl>
    <w:p w14:paraId="3472F2D3" w14:textId="77777777" w:rsidR="00FC04AB" w:rsidRDefault="00FC04AB" w:rsidP="00FC04AB">
      <w:pPr>
        <w:spacing w:before="120" w:after="120"/>
      </w:pPr>
      <w:r w:rsidRPr="00621A84">
        <w:t>9. Voyez-vous des dysfonctionnements des marchés du transport dont l’ART pourrait se saisir, compte tenu de son positionnement institutionnel et de son expertise ?</w:t>
      </w:r>
    </w:p>
    <w:tbl>
      <w:tblPr>
        <w:tblStyle w:val="Grilledetableauclaire"/>
        <w:tblW w:w="0" w:type="auto"/>
        <w:tblLook w:val="04A0" w:firstRow="1" w:lastRow="0" w:firstColumn="1" w:lastColumn="0" w:noHBand="0" w:noVBand="1"/>
      </w:tblPr>
      <w:tblGrid>
        <w:gridCol w:w="9060"/>
      </w:tblGrid>
      <w:tr w:rsidR="00FC04AB" w14:paraId="2D4C0A16" w14:textId="77777777" w:rsidTr="005C42B5">
        <w:tc>
          <w:tcPr>
            <w:tcW w:w="9060" w:type="dxa"/>
          </w:tcPr>
          <w:p w14:paraId="38DA6471" w14:textId="77777777" w:rsidR="00FC04AB" w:rsidRDefault="00FC04AB" w:rsidP="005C42B5">
            <w:pPr>
              <w:rPr>
                <w:shd w:val="clear" w:color="auto" w:fill="FFFFFF" w:themeFill="background1"/>
              </w:rPr>
            </w:pPr>
          </w:p>
        </w:tc>
      </w:tr>
    </w:tbl>
    <w:p w14:paraId="7AFDBD54" w14:textId="27E944EA" w:rsidR="00FC04AB" w:rsidRPr="00621A84" w:rsidRDefault="00FC04AB" w:rsidP="00FC04AB">
      <w:pPr>
        <w:spacing w:before="120" w:after="120"/>
      </w:pPr>
      <w:r w:rsidRPr="00621A84">
        <w:t xml:space="preserve">10. Les compétences </w:t>
      </w:r>
      <w:r>
        <w:t xml:space="preserve">et moyens d’intervention </w:t>
      </w:r>
      <w:r w:rsidRPr="00621A84">
        <w:t xml:space="preserve">actuels </w:t>
      </w:r>
      <w:r>
        <w:t xml:space="preserve">confiés à </w:t>
      </w:r>
      <w:r w:rsidRPr="00621A84">
        <w:t xml:space="preserve">l’ART </w:t>
      </w:r>
      <w:r>
        <w:t>par la loi</w:t>
      </w:r>
      <w:r w:rsidRPr="00621A84">
        <w:t xml:space="preserve"> vous paraissent-</w:t>
      </w:r>
      <w:r>
        <w:t>il</w:t>
      </w:r>
      <w:r w:rsidRPr="00621A84">
        <w:t>s adaptées pour mettre en œuvre une régulation efficace</w:t>
      </w:r>
      <w:r>
        <w:t xml:space="preserve"> </w:t>
      </w:r>
      <w:r w:rsidRPr="00621A84">
        <w:t xml:space="preserve">et tenir compte des enjeux du secteur ? Si oui, </w:t>
      </w:r>
      <w:r>
        <w:t>vous pouvez, le cas échéant, expliciter votre point de vue</w:t>
      </w:r>
      <w:r w:rsidRPr="00621A84">
        <w:t>. Si non, comment faudrait-il les adapter</w:t>
      </w:r>
      <w:r>
        <w:t xml:space="preserve"> </w:t>
      </w:r>
      <w:r w:rsidRPr="00621A84">
        <w:t>(dans les secteurs actuellement régulés ou au-delà</w:t>
      </w:r>
      <w:r>
        <w:t>,</w:t>
      </w:r>
      <w:r w:rsidRPr="00621A84">
        <w:t xml:space="preserve"> le cas échéant) ?</w:t>
      </w:r>
    </w:p>
    <w:tbl>
      <w:tblPr>
        <w:tblStyle w:val="Grilledetableauclaire"/>
        <w:tblW w:w="0" w:type="auto"/>
        <w:tblLook w:val="04A0" w:firstRow="1" w:lastRow="0" w:firstColumn="1" w:lastColumn="0" w:noHBand="0" w:noVBand="1"/>
      </w:tblPr>
      <w:tblGrid>
        <w:gridCol w:w="9060"/>
      </w:tblGrid>
      <w:tr w:rsidR="00FC04AB" w14:paraId="29E4774C" w14:textId="77777777" w:rsidTr="005C42B5">
        <w:tc>
          <w:tcPr>
            <w:tcW w:w="9060" w:type="dxa"/>
          </w:tcPr>
          <w:p w14:paraId="73554928" w14:textId="77777777" w:rsidR="00FC04AB" w:rsidRDefault="00FC04AB" w:rsidP="005C42B5">
            <w:pPr>
              <w:rPr>
                <w:shd w:val="clear" w:color="auto" w:fill="FFFFFF" w:themeFill="background1"/>
              </w:rPr>
            </w:pPr>
          </w:p>
        </w:tc>
      </w:tr>
    </w:tbl>
    <w:p w14:paraId="3CC16A83" w14:textId="77777777" w:rsidR="00FC04AB" w:rsidRPr="00621A84" w:rsidRDefault="00FC04AB" w:rsidP="00FC04AB">
      <w:pPr>
        <w:spacing w:before="0"/>
      </w:pPr>
    </w:p>
    <w:p w14:paraId="631FFD81" w14:textId="77777777" w:rsidR="00FC04AB" w:rsidRPr="00621A84" w:rsidRDefault="00FC04AB" w:rsidP="00FC04AB">
      <w:pPr>
        <w:pStyle w:val="Emphase"/>
        <w:keepNext/>
        <w:rPr>
          <w:b w:val="0"/>
          <w:bCs/>
          <w:u w:val="single"/>
        </w:rPr>
      </w:pPr>
      <w:r w:rsidRPr="00D02DE6">
        <w:t xml:space="preserve">IV. </w:t>
      </w:r>
      <w:r w:rsidRPr="00A4300E">
        <w:rPr>
          <w:bCs/>
        </w:rPr>
        <w:t>Conclusion</w:t>
      </w:r>
    </w:p>
    <w:p w14:paraId="5D4D1681" w14:textId="77777777" w:rsidR="00FC04AB" w:rsidRDefault="00FC04AB" w:rsidP="00FC04AB">
      <w:pPr>
        <w:spacing w:before="120" w:after="120"/>
      </w:pPr>
      <w:r w:rsidRPr="00621A84">
        <w:t>11. De manière plus générale, quelles sont vos attentes vis-à-vis de l’ART d’ici à 2030 ?</w:t>
      </w:r>
    </w:p>
    <w:tbl>
      <w:tblPr>
        <w:tblStyle w:val="Grilledetableauclaire"/>
        <w:tblW w:w="0" w:type="auto"/>
        <w:tblLook w:val="04A0" w:firstRow="1" w:lastRow="0" w:firstColumn="1" w:lastColumn="0" w:noHBand="0" w:noVBand="1"/>
      </w:tblPr>
      <w:tblGrid>
        <w:gridCol w:w="9060"/>
      </w:tblGrid>
      <w:tr w:rsidR="00FC04AB" w14:paraId="50C16EF3" w14:textId="77777777" w:rsidTr="005C42B5">
        <w:tc>
          <w:tcPr>
            <w:tcW w:w="9060" w:type="dxa"/>
          </w:tcPr>
          <w:p w14:paraId="71652821" w14:textId="77777777" w:rsidR="00FC04AB" w:rsidRDefault="00FC04AB" w:rsidP="005C42B5">
            <w:pPr>
              <w:rPr>
                <w:shd w:val="clear" w:color="auto" w:fill="FFFFFF" w:themeFill="background1"/>
              </w:rPr>
            </w:pPr>
          </w:p>
        </w:tc>
      </w:tr>
    </w:tbl>
    <w:p w14:paraId="17437E9F" w14:textId="77777777" w:rsidR="00FC04AB" w:rsidRDefault="00FC04AB" w:rsidP="00FC04AB">
      <w:pPr>
        <w:keepNext/>
      </w:pPr>
      <w:r w:rsidRPr="00621A84">
        <w:t>12. Avez-vous d’autres remarques ou suggestions à communiquer à l’ART dans le cadre de l’élaboration de ses orientations stratégiques 2024-2029 ?</w:t>
      </w:r>
    </w:p>
    <w:tbl>
      <w:tblPr>
        <w:tblStyle w:val="Grilledetableauclaire"/>
        <w:tblW w:w="0" w:type="auto"/>
        <w:tblLook w:val="04A0" w:firstRow="1" w:lastRow="0" w:firstColumn="1" w:lastColumn="0" w:noHBand="0" w:noVBand="1"/>
      </w:tblPr>
      <w:tblGrid>
        <w:gridCol w:w="9060"/>
      </w:tblGrid>
      <w:tr w:rsidR="00FC04AB" w14:paraId="7E20E68D" w14:textId="77777777" w:rsidTr="005C42B5">
        <w:tc>
          <w:tcPr>
            <w:tcW w:w="9060" w:type="dxa"/>
          </w:tcPr>
          <w:p w14:paraId="135D5209" w14:textId="77777777" w:rsidR="00FC04AB" w:rsidRDefault="00FC04AB" w:rsidP="005C42B5">
            <w:pPr>
              <w:keepNext/>
              <w:rPr>
                <w:shd w:val="clear" w:color="auto" w:fill="FFFFFF" w:themeFill="background1"/>
              </w:rPr>
            </w:pPr>
          </w:p>
        </w:tc>
      </w:tr>
    </w:tbl>
    <w:p w14:paraId="4F39B3C5" w14:textId="77777777" w:rsidR="00FC04AB" w:rsidRPr="00621A84" w:rsidDel="00B65657" w:rsidRDefault="00FC04AB" w:rsidP="00FC04AB"/>
    <w:p w14:paraId="2864AF4D" w14:textId="28F4D993" w:rsidR="00EC52EF" w:rsidDel="00852389" w:rsidRDefault="00EC52EF">
      <w:pPr>
        <w:spacing w:before="0" w:after="0" w:line="280" w:lineRule="atLeast"/>
        <w:jc w:val="left"/>
      </w:pPr>
      <w:r w:rsidDel="00852389">
        <w:br w:type="page"/>
      </w:r>
    </w:p>
    <w:p w14:paraId="7C9FF7C6" w14:textId="01567274" w:rsidR="00565784" w:rsidRDefault="002C6DF1" w:rsidP="00F25DB7">
      <w:pPr>
        <w:pStyle w:val="Titre1"/>
      </w:pPr>
      <w:bookmarkStart w:id="4" w:name="_Toc156394035"/>
      <w:r>
        <w:lastRenderedPageBreak/>
        <w:t xml:space="preserve">Elements de </w:t>
      </w:r>
      <w:r w:rsidR="00085EDA">
        <w:t xml:space="preserve">bilan </w:t>
      </w:r>
      <w:r w:rsidR="00A57952">
        <w:t>sur le</w:t>
      </w:r>
      <w:r>
        <w:t xml:space="preserve"> rôle et </w:t>
      </w:r>
      <w:r w:rsidR="00085EDA">
        <w:t>l’action passée de l’ART</w:t>
      </w:r>
      <w:bookmarkEnd w:id="4"/>
    </w:p>
    <w:p w14:paraId="0495F2DA" w14:textId="2D58A5A3" w:rsidR="004B261F" w:rsidRPr="00383EBA" w:rsidRDefault="00383EBA" w:rsidP="00B657BC">
      <w:pPr>
        <w:pStyle w:val="Titre2"/>
      </w:pPr>
      <w:bookmarkStart w:id="5" w:name="_Toc156394036"/>
      <w:bookmarkStart w:id="6" w:name="_Hlk152335644"/>
      <w:bookmarkStart w:id="7" w:name="_Hlk125381310"/>
      <w:r>
        <w:t>Une Autorité, six secteurs régulés</w:t>
      </w:r>
      <w:bookmarkEnd w:id="5"/>
    </w:p>
    <w:p w14:paraId="0F436FAA" w14:textId="2F66A4BE" w:rsidR="004B1401" w:rsidRDefault="004B1401" w:rsidP="004B1401">
      <w:pPr>
        <w:rPr>
          <w:rFonts w:eastAsia="Calibri"/>
        </w:rPr>
      </w:pPr>
      <w:r w:rsidRPr="00771C7A">
        <w:rPr>
          <w:rFonts w:eastAsia="Calibri"/>
          <w:b/>
          <w:bCs/>
        </w:rPr>
        <w:t xml:space="preserve">L’ART a été créée en 2009 pour </w:t>
      </w:r>
      <w:r w:rsidRPr="0058219A">
        <w:rPr>
          <w:rFonts w:eastAsia="Calibri"/>
          <w:b/>
          <w:bCs/>
        </w:rPr>
        <w:t xml:space="preserve">accompagner l’ouverture </w:t>
      </w:r>
      <w:r>
        <w:rPr>
          <w:rFonts w:eastAsia="Calibri"/>
          <w:b/>
          <w:bCs/>
        </w:rPr>
        <w:t xml:space="preserve">du </w:t>
      </w:r>
      <w:r w:rsidR="00740D76">
        <w:rPr>
          <w:rFonts w:eastAsia="Calibri"/>
          <w:b/>
          <w:bCs/>
        </w:rPr>
        <w:t xml:space="preserve">secteur </w:t>
      </w:r>
      <w:r w:rsidRPr="0058219A">
        <w:rPr>
          <w:rFonts w:eastAsia="Calibri"/>
          <w:b/>
          <w:bCs/>
        </w:rPr>
        <w:t>ferroviaire</w:t>
      </w:r>
      <w:r>
        <w:rPr>
          <w:rFonts w:eastAsia="Calibri"/>
          <w:b/>
          <w:bCs/>
        </w:rPr>
        <w:t xml:space="preserve"> national</w:t>
      </w:r>
      <w:bookmarkStart w:id="8" w:name="_Hlk152577607"/>
      <w:r>
        <w:rPr>
          <w:rFonts w:eastAsia="Calibri"/>
        </w:rPr>
        <w:t xml:space="preserve">, sous </w:t>
      </w:r>
      <w:r w:rsidR="004B261F">
        <w:rPr>
          <w:rFonts w:eastAsia="Calibri"/>
        </w:rPr>
        <w:t>l’</w:t>
      </w:r>
      <w:r>
        <w:rPr>
          <w:rFonts w:eastAsia="Calibri"/>
        </w:rPr>
        <w:t xml:space="preserve">impulsion </w:t>
      </w:r>
      <w:r w:rsidR="004B261F">
        <w:rPr>
          <w:rFonts w:eastAsia="Calibri"/>
        </w:rPr>
        <w:t>de l’Union</w:t>
      </w:r>
      <w:r>
        <w:rPr>
          <w:rFonts w:eastAsia="Calibri"/>
        </w:rPr>
        <w:t xml:space="preserve"> européenne, </w:t>
      </w:r>
      <w:bookmarkEnd w:id="8"/>
      <w:r>
        <w:rPr>
          <w:rFonts w:eastAsia="Calibri"/>
        </w:rPr>
        <w:t xml:space="preserve">en vue de permettre </w:t>
      </w:r>
      <w:r w:rsidR="00740D76">
        <w:rPr>
          <w:rFonts w:eastAsia="Calibri"/>
        </w:rPr>
        <w:t xml:space="preserve">la constitution </w:t>
      </w:r>
      <w:r>
        <w:rPr>
          <w:rFonts w:eastAsia="Calibri"/>
        </w:rPr>
        <w:t xml:space="preserve">d’un espace unique ferroviaire européen et de favoriser un fonctionnement plus efficace des systèmes ferroviaires nationaux. </w:t>
      </w:r>
    </w:p>
    <w:p w14:paraId="016170EB" w14:textId="30F4009B" w:rsidR="004B261F" w:rsidRDefault="00793815" w:rsidP="004B1401">
      <w:r w:rsidRPr="00771C7A">
        <w:rPr>
          <w:rFonts w:eastAsia="Calibri"/>
          <w:b/>
          <w:bCs/>
        </w:rPr>
        <w:t>Elle a vu, entre 20</w:t>
      </w:r>
      <w:r>
        <w:rPr>
          <w:rFonts w:eastAsia="Calibri"/>
          <w:b/>
          <w:bCs/>
        </w:rPr>
        <w:t>1</w:t>
      </w:r>
      <w:r w:rsidRPr="00771C7A">
        <w:rPr>
          <w:rFonts w:eastAsia="Calibri"/>
          <w:b/>
          <w:bCs/>
        </w:rPr>
        <w:t xml:space="preserve">5 et 2019, ses compétences élargies à </w:t>
      </w:r>
      <w:r w:rsidR="00383EBA">
        <w:rPr>
          <w:rFonts w:eastAsia="Calibri"/>
          <w:b/>
          <w:bCs/>
        </w:rPr>
        <w:t>cinq autres</w:t>
      </w:r>
      <w:r w:rsidRPr="00771C7A">
        <w:rPr>
          <w:rFonts w:eastAsia="Calibri"/>
          <w:b/>
          <w:bCs/>
        </w:rPr>
        <w:t xml:space="preserve"> </w:t>
      </w:r>
      <w:r w:rsidRPr="00771C7A">
        <w:rPr>
          <w:b/>
          <w:bCs/>
        </w:rPr>
        <w:t>domaines du secteur des transports</w:t>
      </w:r>
      <w:r w:rsidR="004B261F">
        <w:t> :</w:t>
      </w:r>
    </w:p>
    <w:p w14:paraId="5793E5D0" w14:textId="5917239F" w:rsidR="004B261F" w:rsidRDefault="004B261F" w:rsidP="00A7334B">
      <w:pPr>
        <w:pStyle w:val="Paragraphedeliste"/>
        <w:numPr>
          <w:ilvl w:val="0"/>
          <w:numId w:val="14"/>
        </w:numPr>
      </w:pPr>
      <w:r>
        <w:t>domaines</w:t>
      </w:r>
      <w:r w:rsidR="00793815" w:rsidRPr="001C435C">
        <w:t xml:space="preserve"> qui étaient « naturellement » monopolistiques</w:t>
      </w:r>
      <w:r w:rsidR="00383EBA">
        <w:t xml:space="preserve"> – cœur de métier d’un régulateur économique tel que l’ART –,</w:t>
      </w:r>
      <w:r w:rsidR="00793815" w:rsidRPr="001C435C">
        <w:t xml:space="preserve"> comme les autoroutes</w:t>
      </w:r>
      <w:r w:rsidR="00793815">
        <w:t xml:space="preserve"> concédées</w:t>
      </w:r>
      <w:r w:rsidR="00793815" w:rsidRPr="001C435C">
        <w:t xml:space="preserve">, les grands aéroports ou </w:t>
      </w:r>
      <w:r w:rsidR="008578E6">
        <w:t xml:space="preserve">certaines activités de la RATP </w:t>
      </w:r>
      <w:r w:rsidR="00383EBA">
        <w:t>liées à la gestion du réseau</w:t>
      </w:r>
      <w:r w:rsidR="008578E6">
        <w:t xml:space="preserve"> de</w:t>
      </w:r>
      <w:r w:rsidR="00793815" w:rsidRPr="001C435C">
        <w:t xml:space="preserve"> transports publics urbains franciliens</w:t>
      </w:r>
      <w:r w:rsidR="00740D76">
        <w:t> ;</w:t>
      </w:r>
    </w:p>
    <w:p w14:paraId="5FE446A9" w14:textId="77777777" w:rsidR="004B261F" w:rsidRDefault="004B261F" w:rsidP="004B261F">
      <w:pPr>
        <w:pStyle w:val="Paragraphedeliste"/>
      </w:pPr>
    </w:p>
    <w:p w14:paraId="0A24CE17" w14:textId="77777777" w:rsidR="00383EBA" w:rsidRDefault="00383EBA" w:rsidP="00A7334B">
      <w:pPr>
        <w:pStyle w:val="Paragraphedeliste"/>
        <w:numPr>
          <w:ilvl w:val="0"/>
          <w:numId w:val="14"/>
        </w:numPr>
      </w:pPr>
      <w:r>
        <w:t xml:space="preserve">domaines </w:t>
      </w:r>
      <w:r w:rsidRPr="001C435C">
        <w:t>qui s’ouvraient à la concurrence, comme le transport routier interurbain de voyageurs</w:t>
      </w:r>
      <w:r>
        <w:t xml:space="preserve"> ;</w:t>
      </w:r>
    </w:p>
    <w:p w14:paraId="2A7E2C50" w14:textId="77777777" w:rsidR="00383EBA" w:rsidRDefault="00383EBA" w:rsidP="00383EBA">
      <w:pPr>
        <w:pStyle w:val="Paragraphedeliste"/>
      </w:pPr>
    </w:p>
    <w:p w14:paraId="09926D39" w14:textId="6D4233AA" w:rsidR="004B1401" w:rsidRPr="002A57F9" w:rsidRDefault="00B657BC" w:rsidP="00B657BC">
      <w:pPr>
        <w:pStyle w:val="Paragraphedeliste"/>
        <w:numPr>
          <w:ilvl w:val="0"/>
          <w:numId w:val="14"/>
        </w:numPr>
        <w:spacing w:after="0"/>
      </w:pPr>
      <w:r>
        <w:rPr>
          <w:rFonts w:eastAsia="Calibri"/>
          <w:b/>
          <w:bCs/>
          <w:noProof/>
        </w:rPr>
        <w:drawing>
          <wp:anchor distT="0" distB="0" distL="114300" distR="114300" simplePos="0" relativeHeight="251658247" behindDoc="0" locked="0" layoutInCell="1" allowOverlap="1" wp14:anchorId="0FB61877" wp14:editId="0B1E4DA1">
            <wp:simplePos x="0" y="0"/>
            <wp:positionH relativeFrom="margin">
              <wp:posOffset>202565</wp:posOffset>
            </wp:positionH>
            <wp:positionV relativeFrom="paragraph">
              <wp:posOffset>724535</wp:posOffset>
            </wp:positionV>
            <wp:extent cx="5454650" cy="173990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8">
                      <a:extLst>
                        <a:ext uri="{28A0092B-C50C-407E-A947-70E740481C1C}">
                          <a14:useLocalDpi xmlns:a14="http://schemas.microsoft.com/office/drawing/2010/main" val="0"/>
                        </a:ext>
                      </a:extLst>
                    </a:blip>
                    <a:srcRect/>
                    <a:stretch/>
                  </pic:blipFill>
                  <pic:spPr bwMode="auto">
                    <a:xfrm>
                      <a:off x="0" y="0"/>
                      <a:ext cx="5454650" cy="1739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93815">
        <w:t xml:space="preserve">domaine </w:t>
      </w:r>
      <w:r w:rsidR="00383EBA">
        <w:t xml:space="preserve">connexe </w:t>
      </w:r>
      <w:r w:rsidR="00793815">
        <w:t xml:space="preserve">des </w:t>
      </w:r>
      <w:r w:rsidR="00793815" w:rsidRPr="002A57F9">
        <w:t>services numériques de mobilité</w:t>
      </w:r>
      <w:r w:rsidR="00383EBA">
        <w:t xml:space="preserve"> (</w:t>
      </w:r>
      <w:r w:rsidR="008578E6">
        <w:t>les données de mobilité et les services numériques de vente de billets pouvant être considérés comme des</w:t>
      </w:r>
      <w:r w:rsidR="00793815">
        <w:t xml:space="preserve"> facilité</w:t>
      </w:r>
      <w:r w:rsidR="008578E6">
        <w:t>s</w:t>
      </w:r>
      <w:r w:rsidR="00793815">
        <w:t xml:space="preserve"> essentielle</w:t>
      </w:r>
      <w:r w:rsidR="008578E6">
        <w:t>s pour proposer des calculateurs d’itinéraire et des applications de billettique multimodale performants</w:t>
      </w:r>
      <w:r w:rsidR="00383EBA">
        <w:t>)</w:t>
      </w:r>
      <w:r w:rsidR="00793815" w:rsidRPr="002A57F9">
        <w:t>.</w:t>
      </w:r>
    </w:p>
    <w:p w14:paraId="5C13B561" w14:textId="12E8FCFF" w:rsidR="003A20AB" w:rsidRPr="002A57F9" w:rsidRDefault="002A57F9" w:rsidP="00B657BC">
      <w:pPr>
        <w:pStyle w:val="Titre2"/>
      </w:pPr>
      <w:bookmarkStart w:id="9" w:name="_Toc151482373"/>
      <w:bookmarkStart w:id="10" w:name="_Toc152245594"/>
      <w:bookmarkStart w:id="11" w:name="_Toc156394037"/>
      <w:bookmarkEnd w:id="6"/>
      <w:bookmarkEnd w:id="9"/>
      <w:bookmarkEnd w:id="10"/>
      <w:r w:rsidRPr="002A57F9">
        <w:t xml:space="preserve">L’ART </w:t>
      </w:r>
      <w:r w:rsidR="00C04749">
        <w:t>contribue</w:t>
      </w:r>
      <w:r w:rsidRPr="002A57F9">
        <w:t xml:space="preserve"> </w:t>
      </w:r>
      <w:r w:rsidR="00006925">
        <w:t>à un meilleur</w:t>
      </w:r>
      <w:r w:rsidRPr="002A57F9">
        <w:t xml:space="preserve"> fonctionnement </w:t>
      </w:r>
      <w:r>
        <w:t xml:space="preserve">économique </w:t>
      </w:r>
      <w:r w:rsidR="00006925">
        <w:t xml:space="preserve">du secteur </w:t>
      </w:r>
      <w:r w:rsidRPr="002A57F9">
        <w:t>des transports</w:t>
      </w:r>
      <w:bookmarkEnd w:id="11"/>
    </w:p>
    <w:p w14:paraId="11F23568" w14:textId="7D592796" w:rsidR="00AF56A4" w:rsidRPr="00AF56A4" w:rsidRDefault="00AF56A4" w:rsidP="00006925">
      <w:pPr>
        <w:pStyle w:val="Emphase"/>
        <w:rPr>
          <w:u w:val="single"/>
        </w:rPr>
      </w:pPr>
      <w:bookmarkStart w:id="12" w:name="_Hlk152336494"/>
      <w:r w:rsidRPr="00AF56A4">
        <w:t>Objectifs de la régulation</w:t>
      </w:r>
    </w:p>
    <w:p w14:paraId="3A11A365" w14:textId="4D50C18C" w:rsidR="00AF28B5" w:rsidRDefault="00256D94" w:rsidP="00571EDB">
      <w:r>
        <w:rPr>
          <w:b/>
          <w:bCs/>
        </w:rPr>
        <w:t>L</w:t>
      </w:r>
      <w:r w:rsidR="00EE5A0C" w:rsidRPr="00001892">
        <w:rPr>
          <w:b/>
          <w:bCs/>
        </w:rPr>
        <w:t xml:space="preserve">a régulation économique du secteur des transports </w:t>
      </w:r>
      <w:r>
        <w:rPr>
          <w:b/>
          <w:bCs/>
        </w:rPr>
        <w:t xml:space="preserve">a pour objectif ultime </w:t>
      </w:r>
      <w:r w:rsidR="00CE1BE6">
        <w:rPr>
          <w:b/>
          <w:bCs/>
        </w:rPr>
        <w:t xml:space="preserve">de contribuer au </w:t>
      </w:r>
      <w:r w:rsidR="009D2AF5" w:rsidRPr="00001892">
        <w:rPr>
          <w:b/>
          <w:bCs/>
        </w:rPr>
        <w:t>bon</w:t>
      </w:r>
      <w:r w:rsidR="00EE5A0C" w:rsidRPr="00001892">
        <w:rPr>
          <w:b/>
          <w:bCs/>
        </w:rPr>
        <w:t xml:space="preserve"> fonctionnement des services de transport</w:t>
      </w:r>
      <w:r w:rsidR="0050623F" w:rsidRPr="00001892">
        <w:rPr>
          <w:b/>
          <w:bCs/>
        </w:rPr>
        <w:t>s</w:t>
      </w:r>
      <w:r w:rsidR="00380E2C">
        <w:rPr>
          <w:b/>
          <w:bCs/>
        </w:rPr>
        <w:t xml:space="preserve"> </w:t>
      </w:r>
      <w:r w:rsidR="00D807B9">
        <w:rPr>
          <w:b/>
          <w:bCs/>
        </w:rPr>
        <w:t>au service</w:t>
      </w:r>
      <w:r w:rsidR="00380E2C">
        <w:rPr>
          <w:b/>
          <w:bCs/>
        </w:rPr>
        <w:t xml:space="preserve"> </w:t>
      </w:r>
      <w:r w:rsidR="00CE1BE6">
        <w:rPr>
          <w:b/>
          <w:bCs/>
        </w:rPr>
        <w:t>d</w:t>
      </w:r>
      <w:r w:rsidR="00CE1BE6" w:rsidRPr="00001892">
        <w:rPr>
          <w:b/>
          <w:bCs/>
        </w:rPr>
        <w:t>’une</w:t>
      </w:r>
      <w:r w:rsidR="0050623F" w:rsidRPr="00001892">
        <w:rPr>
          <w:b/>
          <w:bCs/>
        </w:rPr>
        <w:t xml:space="preserve"> mobilité</w:t>
      </w:r>
      <w:r w:rsidR="00736F20">
        <w:rPr>
          <w:b/>
          <w:bCs/>
        </w:rPr>
        <w:t xml:space="preserve"> de qualité</w:t>
      </w:r>
      <w:r w:rsidR="0050623F" w:rsidRPr="00001892">
        <w:rPr>
          <w:b/>
          <w:bCs/>
        </w:rPr>
        <w:t xml:space="preserve"> au meilleur prix pour les </w:t>
      </w:r>
      <w:r w:rsidR="00FC3F52">
        <w:rPr>
          <w:b/>
          <w:bCs/>
        </w:rPr>
        <w:t>usagers</w:t>
      </w:r>
      <w:r w:rsidR="0050623F" w:rsidRPr="00001892">
        <w:rPr>
          <w:b/>
          <w:bCs/>
        </w:rPr>
        <w:t>.</w:t>
      </w:r>
      <w:r w:rsidR="0050623F">
        <w:t xml:space="preserve"> Dans le cadre de s</w:t>
      </w:r>
      <w:r w:rsidR="00DA12C9">
        <w:t>es</w:t>
      </w:r>
      <w:r w:rsidR="00D9607D" w:rsidRPr="00D9607D">
        <w:t xml:space="preserve"> mission</w:t>
      </w:r>
      <w:r w:rsidR="00DA12C9">
        <w:t>s</w:t>
      </w:r>
      <w:r w:rsidR="0050623F">
        <w:t>,</w:t>
      </w:r>
      <w:r w:rsidR="00D9607D" w:rsidRPr="00D9607D">
        <w:t xml:space="preserve"> l’ART </w:t>
      </w:r>
      <w:r w:rsidR="00F86B15">
        <w:t>poursuit deux grands objectifs de régulation</w:t>
      </w:r>
      <w:r w:rsidR="00AF28B5">
        <w:t> :</w:t>
      </w:r>
    </w:p>
    <w:p w14:paraId="3C8B58A9" w14:textId="088889BF" w:rsidR="00AF28B5" w:rsidRDefault="00F86B15" w:rsidP="00A7334B">
      <w:pPr>
        <w:pStyle w:val="Paragraphedeliste"/>
        <w:numPr>
          <w:ilvl w:val="0"/>
          <w:numId w:val="15"/>
        </w:numPr>
      </w:pPr>
      <w:r>
        <w:t xml:space="preserve">D’une part, elle </w:t>
      </w:r>
      <w:r w:rsidR="00736F20">
        <w:t>contribue</w:t>
      </w:r>
      <w:r w:rsidR="003B695E">
        <w:t xml:space="preserve"> à une concurrence effective</w:t>
      </w:r>
      <w:r w:rsidR="0050623F" w:rsidRPr="00D9607D" w:rsidDel="003B695E">
        <w:t xml:space="preserve"> </w:t>
      </w:r>
      <w:r w:rsidR="00736F20">
        <w:t xml:space="preserve">et loyale </w:t>
      </w:r>
      <w:r w:rsidR="003B695E">
        <w:t>sur les marchés de</w:t>
      </w:r>
      <w:r w:rsidR="00736F20">
        <w:t>s services de</w:t>
      </w:r>
      <w:r w:rsidR="003B695E">
        <w:t xml:space="preserve"> transport</w:t>
      </w:r>
      <w:r w:rsidR="00AF28B5">
        <w:t> ;</w:t>
      </w:r>
    </w:p>
    <w:p w14:paraId="308A086F" w14:textId="77777777" w:rsidR="00AF28B5" w:rsidRDefault="00AF28B5" w:rsidP="00AF28B5">
      <w:pPr>
        <w:pStyle w:val="Paragraphedeliste"/>
      </w:pPr>
    </w:p>
    <w:p w14:paraId="3DAEE3AA" w14:textId="77777777" w:rsidR="00AF28B5" w:rsidRDefault="003B695E" w:rsidP="00A7334B">
      <w:pPr>
        <w:pStyle w:val="Paragraphedeliste"/>
        <w:numPr>
          <w:ilvl w:val="0"/>
          <w:numId w:val="15"/>
        </w:numPr>
      </w:pPr>
      <w:r>
        <w:t>D’autre part,</w:t>
      </w:r>
      <w:r w:rsidR="0050623F">
        <w:t xml:space="preserve"> </w:t>
      </w:r>
      <w:r>
        <w:t xml:space="preserve">pour les « monopoles naturels » disposant d’un pouvoir de marché, l’ART </w:t>
      </w:r>
      <w:r w:rsidRPr="003B695E">
        <w:t>s’assure que les gestionnaires n’exploitent pas leur position pour dégager une rente de monopole</w:t>
      </w:r>
      <w:r w:rsidR="00286703">
        <w:t>,</w:t>
      </w:r>
      <w:r w:rsidRPr="003B695E">
        <w:t xml:space="preserve"> </w:t>
      </w:r>
      <w:r w:rsidR="0050623F">
        <w:t xml:space="preserve">et </w:t>
      </w:r>
      <w:r>
        <w:t>qu’ils gèrent</w:t>
      </w:r>
      <w:r w:rsidR="00D9607D" w:rsidRPr="00D9607D">
        <w:t xml:space="preserve"> </w:t>
      </w:r>
      <w:r w:rsidR="009D2AF5">
        <w:t>efficace</w:t>
      </w:r>
      <w:r>
        <w:t>ment</w:t>
      </w:r>
      <w:r w:rsidR="00D9607D" w:rsidRPr="00D9607D">
        <w:t xml:space="preserve"> </w:t>
      </w:r>
      <w:r>
        <w:t>l</w:t>
      </w:r>
      <w:r w:rsidR="00D9607D" w:rsidRPr="00D9607D">
        <w:t xml:space="preserve">es infrastructures et services essentiels </w:t>
      </w:r>
      <w:r w:rsidR="00D10146">
        <w:t>de transports.</w:t>
      </w:r>
    </w:p>
    <w:p w14:paraId="7960BB75" w14:textId="77777777" w:rsidR="00AF28B5" w:rsidRDefault="00AF28B5" w:rsidP="00AF28B5">
      <w:pPr>
        <w:pStyle w:val="Paragraphedeliste"/>
      </w:pPr>
    </w:p>
    <w:p w14:paraId="79867824" w14:textId="3B714AA0" w:rsidR="00E73D48" w:rsidRDefault="00571EDB" w:rsidP="00571EDB">
      <w:r w:rsidRPr="003B695E">
        <w:lastRenderedPageBreak/>
        <w:t xml:space="preserve">Si elle ne régule pas </w:t>
      </w:r>
      <w:r w:rsidR="006E4D2E" w:rsidRPr="009A5987">
        <w:t xml:space="preserve">toujours </w:t>
      </w:r>
      <w:r w:rsidRPr="003B695E">
        <w:t>directement les prix payés par les usagers</w:t>
      </w:r>
      <w:r w:rsidR="006E4D2E" w:rsidRPr="009A5987">
        <w:t xml:space="preserve"> </w:t>
      </w:r>
      <w:r w:rsidR="00736F20" w:rsidRPr="009A5987">
        <w:t>fina</w:t>
      </w:r>
      <w:r w:rsidR="00736F20">
        <w:t>ux</w:t>
      </w:r>
      <w:r w:rsidR="00736F20" w:rsidRPr="003B695E">
        <w:t xml:space="preserve"> </w:t>
      </w:r>
      <w:r w:rsidRPr="003B695E">
        <w:t xml:space="preserve">mais intervient, pour l’essentiel, en amont, l’action de </w:t>
      </w:r>
      <w:r w:rsidR="006E4D2E" w:rsidRPr="009A5987">
        <w:t xml:space="preserve">l’ART </w:t>
      </w:r>
      <w:r w:rsidRPr="003B695E">
        <w:t xml:space="preserve">contribue, </w:t>
      </w:r>
      <w:r w:rsidRPr="009A5987">
        <w:rPr>
          <w:i/>
          <w:iCs/>
        </w:rPr>
        <w:t>in fine</w:t>
      </w:r>
      <w:r w:rsidRPr="003B695E">
        <w:t>, à assurer les meilleurs tarifs au regard de la qualité fournie.</w:t>
      </w:r>
      <w:r>
        <w:t xml:space="preserve"> </w:t>
      </w:r>
    </w:p>
    <w:p w14:paraId="5522F820" w14:textId="186F8DC4" w:rsidR="00AF56A4" w:rsidRPr="00AF56A4" w:rsidRDefault="00AF56A4" w:rsidP="00006925">
      <w:pPr>
        <w:pStyle w:val="Emphase"/>
        <w:rPr>
          <w:u w:val="single"/>
        </w:rPr>
      </w:pPr>
      <w:r>
        <w:t>Déclinaison actuelle dans le secteur des transports</w:t>
      </w:r>
    </w:p>
    <w:p w14:paraId="5436D4E8" w14:textId="4C10A5BF" w:rsidR="00AF28B5" w:rsidRDefault="00AF28B5" w:rsidP="003F01EF">
      <w:pPr>
        <w:rPr>
          <w:b/>
          <w:bCs/>
        </w:rPr>
      </w:pPr>
      <w:r>
        <w:rPr>
          <w:b/>
          <w:bCs/>
        </w:rPr>
        <w:t>Les missions</w:t>
      </w:r>
      <w:r w:rsidR="002F3973" w:rsidRPr="009A5987">
        <w:rPr>
          <w:b/>
          <w:bCs/>
        </w:rPr>
        <w:t xml:space="preserve"> de l’ART </w:t>
      </w:r>
      <w:r>
        <w:rPr>
          <w:b/>
          <w:bCs/>
        </w:rPr>
        <w:t xml:space="preserve">se déclinent dans chacun des </w:t>
      </w:r>
      <w:r w:rsidR="002F3973" w:rsidRPr="009A5987">
        <w:rPr>
          <w:b/>
          <w:bCs/>
        </w:rPr>
        <w:t xml:space="preserve">six </w:t>
      </w:r>
      <w:r>
        <w:rPr>
          <w:b/>
          <w:bCs/>
        </w:rPr>
        <w:t xml:space="preserve">domaines </w:t>
      </w:r>
      <w:r w:rsidR="002F3973">
        <w:rPr>
          <w:b/>
          <w:bCs/>
        </w:rPr>
        <w:t>qu’elle régule</w:t>
      </w:r>
      <w:r>
        <w:rPr>
          <w:b/>
          <w:bCs/>
        </w:rPr>
        <w:t> :</w:t>
      </w:r>
    </w:p>
    <w:tbl>
      <w:tblPr>
        <w:tblStyle w:val="TableGrid"/>
        <w:tblW w:w="9214" w:type="dxa"/>
        <w:tblInd w:w="0" w:type="dxa"/>
        <w:tblLook w:val="04A0" w:firstRow="1" w:lastRow="0" w:firstColumn="1" w:lastColumn="0" w:noHBand="0" w:noVBand="1"/>
      </w:tblPr>
      <w:tblGrid>
        <w:gridCol w:w="1292"/>
        <w:gridCol w:w="7922"/>
      </w:tblGrid>
      <w:tr w:rsidR="0065526E" w14:paraId="02FC1FD8" w14:textId="77777777" w:rsidTr="00D02DE6">
        <w:tc>
          <w:tcPr>
            <w:tcW w:w="1292" w:type="dxa"/>
            <w:vAlign w:val="center"/>
          </w:tcPr>
          <w:p w14:paraId="01B8EB42" w14:textId="6169929A" w:rsidR="0065526E" w:rsidRPr="002763F0" w:rsidRDefault="0065526E" w:rsidP="00006925">
            <w:pPr>
              <w:pStyle w:val="Icne"/>
            </w:pPr>
            <w:r w:rsidRPr="00545BA2">
              <w:drawing>
                <wp:inline distT="0" distB="0" distL="0" distR="0" wp14:anchorId="14C0EC55" wp14:editId="63AD48AA">
                  <wp:extent cx="432000" cy="432000"/>
                  <wp:effectExtent l="0" t="0" r="0" b="6350"/>
                  <wp:docPr id="9" name="Graphique 9" descr="Train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que 9" descr="Train avec un remplissage uni"/>
                          <pic:cNvPicPr/>
                        </pic:nvPicPr>
                        <pic:blipFill>
                          <a:blip r:embed="rId19">
                            <a:extLst>
                              <a:ext uri="{96DAC541-7B7A-43D3-8B79-37D633B846F1}">
                                <asvg:svgBlip xmlns:asvg="http://schemas.microsoft.com/office/drawing/2016/SVG/main" r:embed="rId20"/>
                              </a:ext>
                            </a:extLst>
                          </a:blip>
                          <a:stretch>
                            <a:fillRect/>
                          </a:stretch>
                        </pic:blipFill>
                        <pic:spPr>
                          <a:xfrm>
                            <a:off x="0" y="0"/>
                            <a:ext cx="432000" cy="432000"/>
                          </a:xfrm>
                          <a:prstGeom prst="rect">
                            <a:avLst/>
                          </a:prstGeom>
                        </pic:spPr>
                      </pic:pic>
                    </a:graphicData>
                  </a:graphic>
                </wp:inline>
              </w:drawing>
            </w:r>
          </w:p>
        </w:tc>
        <w:tc>
          <w:tcPr>
            <w:tcW w:w="7922" w:type="dxa"/>
            <w:vAlign w:val="center"/>
          </w:tcPr>
          <w:p w14:paraId="46C9BD62" w14:textId="45FD1166" w:rsidR="00545BA2" w:rsidRPr="00545BA2" w:rsidRDefault="00545BA2" w:rsidP="00006925">
            <w:pPr>
              <w:pStyle w:val="Tableaucentr"/>
            </w:pPr>
            <w:r w:rsidRPr="00545BA2">
              <w:t>Ferroviaire</w:t>
            </w:r>
          </w:p>
          <w:p w14:paraId="2E2600DE" w14:textId="0B976B73" w:rsidR="0065526E" w:rsidRPr="00006925" w:rsidRDefault="0065526E" w:rsidP="00006925">
            <w:pPr>
              <w:pStyle w:val="Tableaulongcontenu"/>
            </w:pPr>
            <w:r w:rsidRPr="00545BA2">
              <w:t xml:space="preserve">L’ART </w:t>
            </w:r>
            <w:r w:rsidR="009C0967">
              <w:t>s’</w:t>
            </w:r>
            <w:r w:rsidR="002333F0">
              <w:t>assure</w:t>
            </w:r>
            <w:r w:rsidRPr="00545BA2">
              <w:t xml:space="preserve"> </w:t>
            </w:r>
            <w:r w:rsidR="002333F0">
              <w:t xml:space="preserve">que les conditions </w:t>
            </w:r>
            <w:r w:rsidR="00736F20">
              <w:t>tarifaires et opérationnelles d’</w:t>
            </w:r>
            <w:r w:rsidRPr="00545BA2">
              <w:t xml:space="preserve">accès </w:t>
            </w:r>
            <w:r w:rsidR="002333F0">
              <w:t>aux</w:t>
            </w:r>
            <w:r w:rsidRPr="00545BA2">
              <w:t xml:space="preserve"> infrastructures et </w:t>
            </w:r>
            <w:r w:rsidR="00736F20">
              <w:t>activités</w:t>
            </w:r>
            <w:r w:rsidRPr="00545BA2">
              <w:t xml:space="preserve"> essentiel</w:t>
            </w:r>
            <w:r w:rsidR="00736F20">
              <w:t>le</w:t>
            </w:r>
            <w:r w:rsidRPr="00545BA2">
              <w:t>s du système ferroviaire, tels que le réseau ferré, les gares et les autres installations de service (centres de maintenance, station</w:t>
            </w:r>
            <w:r w:rsidR="009C0967">
              <w:t>s</w:t>
            </w:r>
            <w:r w:rsidRPr="00545BA2">
              <w:t xml:space="preserve"> de combustible, etc.)</w:t>
            </w:r>
            <w:r w:rsidR="00736F20">
              <w:t xml:space="preserve"> ainsi que les prestations de sûreté,</w:t>
            </w:r>
            <w:r w:rsidRPr="00545BA2">
              <w:t> </w:t>
            </w:r>
            <w:r w:rsidR="002333F0">
              <w:t xml:space="preserve">soient </w:t>
            </w:r>
            <w:r w:rsidR="00736F20">
              <w:t xml:space="preserve">transparentes, </w:t>
            </w:r>
            <w:r w:rsidR="002333F0">
              <w:t>équitables</w:t>
            </w:r>
            <w:r w:rsidR="00736F20">
              <w:t xml:space="preserve"> et non discriminatoires</w:t>
            </w:r>
            <w:r w:rsidR="0018240C">
              <w:t xml:space="preserve"> et permettent le développement d’une concurrence effective et loyale sur les marchés des services de transport</w:t>
            </w:r>
            <w:r w:rsidR="00736F20">
              <w:t>.</w:t>
            </w:r>
            <w:r w:rsidR="0018240C">
              <w:t xml:space="preserve"> Plus largement, elle concourt </w:t>
            </w:r>
            <w:r w:rsidR="00736F20">
              <w:t xml:space="preserve">au bon fonctionnement </w:t>
            </w:r>
            <w:r w:rsidR="0018240C">
              <w:t>du système de transport ferroviaire dans l’ensemble de ses dimensions technique, économique et financière.</w:t>
            </w:r>
          </w:p>
        </w:tc>
      </w:tr>
      <w:tr w:rsidR="0065526E" w14:paraId="53C13321" w14:textId="77777777" w:rsidTr="00D02DE6">
        <w:tc>
          <w:tcPr>
            <w:tcW w:w="1292" w:type="dxa"/>
            <w:vAlign w:val="center"/>
          </w:tcPr>
          <w:p w14:paraId="1D5E47C2" w14:textId="20ECC2BD" w:rsidR="002763F0" w:rsidRPr="00545BA2" w:rsidRDefault="00647ADA" w:rsidP="00006925">
            <w:pPr>
              <w:pStyle w:val="Icne"/>
            </w:pPr>
            <w:r w:rsidRPr="00545BA2">
              <w:drawing>
                <wp:inline distT="0" distB="0" distL="0" distR="0" wp14:anchorId="202DDB17" wp14:editId="7CD31B57">
                  <wp:extent cx="432000" cy="432000"/>
                  <wp:effectExtent l="0" t="0" r="0" b="6350"/>
                  <wp:docPr id="14" name="Graphique 14" descr="Tramway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que 14" descr="Tramway avec un remplissage uni"/>
                          <pic:cNvPicPr/>
                        </pic:nvPicPr>
                        <pic:blipFill>
                          <a:blip r:embed="rId21">
                            <a:extLst>
                              <a:ext uri="{96DAC541-7B7A-43D3-8B79-37D633B846F1}">
                                <asvg:svgBlip xmlns:asvg="http://schemas.microsoft.com/office/drawing/2016/SVG/main" r:embed="rId22"/>
                              </a:ext>
                            </a:extLst>
                          </a:blip>
                          <a:stretch>
                            <a:fillRect/>
                          </a:stretch>
                        </pic:blipFill>
                        <pic:spPr>
                          <a:xfrm>
                            <a:off x="0" y="0"/>
                            <a:ext cx="432000" cy="432000"/>
                          </a:xfrm>
                          <a:prstGeom prst="rect">
                            <a:avLst/>
                          </a:prstGeom>
                        </pic:spPr>
                      </pic:pic>
                    </a:graphicData>
                  </a:graphic>
                </wp:inline>
              </w:drawing>
            </w:r>
          </w:p>
        </w:tc>
        <w:tc>
          <w:tcPr>
            <w:tcW w:w="7922" w:type="dxa"/>
          </w:tcPr>
          <w:p w14:paraId="7ECC4991" w14:textId="5A22C2F4" w:rsidR="00545BA2" w:rsidRDefault="00545BA2" w:rsidP="00006925">
            <w:pPr>
              <w:pStyle w:val="Tableaucentr"/>
            </w:pPr>
            <w:r>
              <w:t>T</w:t>
            </w:r>
            <w:r w:rsidRPr="002763F0">
              <w:t>ransports urbains</w:t>
            </w:r>
            <w:r>
              <w:t xml:space="preserve"> </w:t>
            </w:r>
            <w:r w:rsidRPr="002763F0">
              <w:t xml:space="preserve">en </w:t>
            </w:r>
            <w:r w:rsidR="00805FDD">
              <w:t>Î</w:t>
            </w:r>
            <w:r w:rsidRPr="002763F0">
              <w:t>le</w:t>
            </w:r>
            <w:r w:rsidR="00805FDD">
              <w:t>-</w:t>
            </w:r>
            <w:r w:rsidRPr="002763F0">
              <w:t>de</w:t>
            </w:r>
            <w:r w:rsidR="00805FDD">
              <w:t>-</w:t>
            </w:r>
            <w:r w:rsidR="00564E80">
              <w:t>France</w:t>
            </w:r>
            <w:r>
              <w:t xml:space="preserve"> </w:t>
            </w:r>
          </w:p>
          <w:p w14:paraId="44F3B05A" w14:textId="3F6EA69C" w:rsidR="0065526E" w:rsidRDefault="005A47CF" w:rsidP="002763F0">
            <w:pPr>
              <w:rPr>
                <w:b/>
                <w:bCs/>
              </w:rPr>
            </w:pPr>
            <w:r>
              <w:t>L’ART</w:t>
            </w:r>
            <w:r w:rsidR="002763F0">
              <w:t xml:space="preserve"> </w:t>
            </w:r>
            <w:r>
              <w:t xml:space="preserve">régule les activités </w:t>
            </w:r>
            <w:r w:rsidR="00E31033">
              <w:t xml:space="preserve">naturellement </w:t>
            </w:r>
            <w:r>
              <w:t xml:space="preserve">monopolistiques de la RATP, notamment en </w:t>
            </w:r>
            <w:r w:rsidR="002763F0">
              <w:t>examin</w:t>
            </w:r>
            <w:r>
              <w:t>ant</w:t>
            </w:r>
            <w:r w:rsidR="002763F0">
              <w:t xml:space="preserve"> </w:t>
            </w:r>
            <w:r>
              <w:t>la</w:t>
            </w:r>
            <w:r w:rsidR="002763F0">
              <w:t xml:space="preserve"> rémunération </w:t>
            </w:r>
            <w:r>
              <w:t xml:space="preserve">versée par Ile-de-France Mobilités au titre de ses activités de </w:t>
            </w:r>
            <w:r w:rsidR="002763F0">
              <w:t>gestionnaire d’infrastructure</w:t>
            </w:r>
            <w:r>
              <w:t xml:space="preserve"> et en approuvant les tarifs des prestations de sûreté. Elle </w:t>
            </w:r>
            <w:r w:rsidR="0018240C">
              <w:t>contribue</w:t>
            </w:r>
            <w:r>
              <w:t xml:space="preserve"> également </w:t>
            </w:r>
            <w:r w:rsidR="0018240C">
              <w:t>aux conditions d’une concurrence effective et loyale entre exploitants sur le réseau de transport public du Grand Paris</w:t>
            </w:r>
            <w:r w:rsidR="000917F3">
              <w:t>.</w:t>
            </w:r>
          </w:p>
        </w:tc>
      </w:tr>
      <w:tr w:rsidR="00545BA2" w14:paraId="30C47FC3" w14:textId="77777777" w:rsidTr="00545BA2">
        <w:tc>
          <w:tcPr>
            <w:tcW w:w="1292" w:type="dxa"/>
            <w:vAlign w:val="center"/>
          </w:tcPr>
          <w:p w14:paraId="35D348F0" w14:textId="4870D8B0" w:rsidR="002763F0" w:rsidRDefault="002763F0" w:rsidP="00006925">
            <w:pPr>
              <w:pStyle w:val="Icne"/>
            </w:pPr>
            <w:r w:rsidRPr="002763F0">
              <w:drawing>
                <wp:inline distT="0" distB="0" distL="0" distR="0" wp14:anchorId="59B95D97" wp14:editId="6FB7EDC4">
                  <wp:extent cx="432000" cy="432000"/>
                  <wp:effectExtent l="0" t="0" r="6350" b="0"/>
                  <wp:docPr id="12" name="Graphique 12" descr="Décollag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que 12" descr="Décollage avec un remplissage uni"/>
                          <pic:cNvPicPr/>
                        </pic:nvPicPr>
                        <pic:blipFill>
                          <a:blip r:embed="rId23">
                            <a:extLst>
                              <a:ext uri="{96DAC541-7B7A-43D3-8B79-37D633B846F1}">
                                <asvg:svgBlip xmlns:asvg="http://schemas.microsoft.com/office/drawing/2016/SVG/main" r:embed="rId24"/>
                              </a:ext>
                            </a:extLst>
                          </a:blip>
                          <a:stretch>
                            <a:fillRect/>
                          </a:stretch>
                        </pic:blipFill>
                        <pic:spPr>
                          <a:xfrm>
                            <a:off x="0" y="0"/>
                            <a:ext cx="432000" cy="432000"/>
                          </a:xfrm>
                          <a:prstGeom prst="rect">
                            <a:avLst/>
                          </a:prstGeom>
                        </pic:spPr>
                      </pic:pic>
                    </a:graphicData>
                  </a:graphic>
                </wp:inline>
              </w:drawing>
            </w:r>
          </w:p>
        </w:tc>
        <w:tc>
          <w:tcPr>
            <w:tcW w:w="7922" w:type="dxa"/>
          </w:tcPr>
          <w:p w14:paraId="480BADE3" w14:textId="77777777" w:rsidR="00545BA2" w:rsidRDefault="00545BA2" w:rsidP="00006925">
            <w:pPr>
              <w:pStyle w:val="Tableaucentr"/>
            </w:pPr>
            <w:r>
              <w:t xml:space="preserve">Aéroportuaire </w:t>
            </w:r>
          </w:p>
          <w:p w14:paraId="05A1F1C3" w14:textId="12FA8957" w:rsidR="0065526E" w:rsidRDefault="002763F0" w:rsidP="00006925">
            <w:pPr>
              <w:pStyle w:val="Tableaulongcontenu"/>
              <w:rPr>
                <w:bCs/>
              </w:rPr>
            </w:pPr>
            <w:r>
              <w:t xml:space="preserve">Elle s’assure que les redevances acquittées par les compagnies aériennes soient établies </w:t>
            </w:r>
            <w:r w:rsidR="005A47CF">
              <w:t xml:space="preserve">dans le respect des principes applicables, notamment </w:t>
            </w:r>
            <w:r>
              <w:t>sur des bases transparentes, objectives et non discriminatoires</w:t>
            </w:r>
            <w:r w:rsidR="005A47CF">
              <w:t>,</w:t>
            </w:r>
            <w:r w:rsidR="000917F3">
              <w:t xml:space="preserve"> et assure un suivi économique et financier du secteur.</w:t>
            </w:r>
          </w:p>
        </w:tc>
      </w:tr>
      <w:tr w:rsidR="0065526E" w14:paraId="2E30D3B2" w14:textId="77777777" w:rsidTr="00D02DE6">
        <w:tc>
          <w:tcPr>
            <w:tcW w:w="1292" w:type="dxa"/>
            <w:vAlign w:val="center"/>
          </w:tcPr>
          <w:p w14:paraId="7D661EF9" w14:textId="01A8CF75" w:rsidR="002763F0" w:rsidRPr="00BC7BD1" w:rsidRDefault="002763F0" w:rsidP="00006925">
            <w:pPr>
              <w:pStyle w:val="Icne"/>
            </w:pPr>
            <w:r>
              <w:drawing>
                <wp:inline distT="0" distB="0" distL="0" distR="0" wp14:anchorId="4D1BF77D" wp14:editId="035D0A19">
                  <wp:extent cx="432000" cy="432000"/>
                  <wp:effectExtent l="0" t="0" r="6350" b="0"/>
                  <wp:docPr id="6" name="Graphique 6" descr="Bus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que 6" descr="Bus avec un remplissage uni"/>
                          <pic:cNvPicPr/>
                        </pic:nvPicPr>
                        <pic:blipFill>
                          <a:blip r:embed="rId25">
                            <a:extLst>
                              <a:ext uri="{96DAC541-7B7A-43D3-8B79-37D633B846F1}">
                                <asvg:svgBlip xmlns:asvg="http://schemas.microsoft.com/office/drawing/2016/SVG/main" r:embed="rId26"/>
                              </a:ext>
                            </a:extLst>
                          </a:blip>
                          <a:stretch>
                            <a:fillRect/>
                          </a:stretch>
                        </pic:blipFill>
                        <pic:spPr>
                          <a:xfrm>
                            <a:off x="0" y="0"/>
                            <a:ext cx="432000" cy="432000"/>
                          </a:xfrm>
                          <a:prstGeom prst="rect">
                            <a:avLst/>
                          </a:prstGeom>
                        </pic:spPr>
                      </pic:pic>
                    </a:graphicData>
                  </a:graphic>
                </wp:inline>
              </w:drawing>
            </w:r>
          </w:p>
        </w:tc>
        <w:tc>
          <w:tcPr>
            <w:tcW w:w="7922" w:type="dxa"/>
          </w:tcPr>
          <w:p w14:paraId="0EA89F82" w14:textId="0B550B23" w:rsidR="00545BA2" w:rsidRDefault="00545BA2" w:rsidP="00006925">
            <w:pPr>
              <w:pStyle w:val="Tableaucentr"/>
            </w:pPr>
            <w:r>
              <w:t>Transport routier</w:t>
            </w:r>
            <w:r w:rsidR="00BC7BD1">
              <w:t xml:space="preserve"> </w:t>
            </w:r>
            <w:r>
              <w:t>de voyageurs</w:t>
            </w:r>
          </w:p>
          <w:p w14:paraId="51BF2D11" w14:textId="1064A686" w:rsidR="0065526E" w:rsidRDefault="00006925" w:rsidP="00006925">
            <w:pPr>
              <w:pStyle w:val="Tableaulongcontenu"/>
              <w:rPr>
                <w:b/>
                <w:bCs/>
              </w:rPr>
            </w:pPr>
            <w:r>
              <w:t>Elle</w:t>
            </w:r>
            <w:r w:rsidR="002763F0">
              <w:t xml:space="preserve"> </w:t>
            </w:r>
            <w:r w:rsidR="002333F0">
              <w:t>examine</w:t>
            </w:r>
            <w:r w:rsidR="002763F0">
              <w:t xml:space="preserve"> </w:t>
            </w:r>
            <w:r w:rsidR="00D02DE6">
              <w:t>l</w:t>
            </w:r>
            <w:r w:rsidR="0099556D">
              <w:t xml:space="preserve">es conditions, au regard de </w:t>
            </w:r>
            <w:r w:rsidR="00BD38D1">
              <w:t>l’</w:t>
            </w:r>
            <w:r w:rsidR="0099556D">
              <w:t xml:space="preserve">offre </w:t>
            </w:r>
            <w:r w:rsidR="008F0ECC">
              <w:t xml:space="preserve">de services conventionnés </w:t>
            </w:r>
            <w:r w:rsidR="0099556D">
              <w:t>existante, de l</w:t>
            </w:r>
            <w:r w:rsidR="00D02DE6">
              <w:t>’introduction de nouveaux</w:t>
            </w:r>
            <w:r w:rsidR="002763F0">
              <w:t xml:space="preserve"> services réguliers interurbains </w:t>
            </w:r>
            <w:r w:rsidR="0099556D">
              <w:t xml:space="preserve">sur les </w:t>
            </w:r>
            <w:r w:rsidR="002763F0">
              <w:t>liaison</w:t>
            </w:r>
            <w:r w:rsidR="0099556D">
              <w:t>s</w:t>
            </w:r>
            <w:r w:rsidR="002763F0">
              <w:t xml:space="preserve"> de moins de cent kilomètres</w:t>
            </w:r>
            <w:r w:rsidR="00BD38D1">
              <w:t> ; elle</w:t>
            </w:r>
            <w:r w:rsidR="002763F0">
              <w:t xml:space="preserve"> </w:t>
            </w:r>
            <w:r w:rsidR="000917F3">
              <w:t xml:space="preserve">contrôle </w:t>
            </w:r>
            <w:r w:rsidR="00BD38D1">
              <w:t xml:space="preserve">également </w:t>
            </w:r>
            <w:r w:rsidR="000917F3">
              <w:t>les conditions</w:t>
            </w:r>
            <w:r w:rsidR="002763F0">
              <w:t xml:space="preserve"> </w:t>
            </w:r>
            <w:r w:rsidR="000917F3">
              <w:t>d</w:t>
            </w:r>
            <w:r w:rsidR="00D02DE6">
              <w:t>’accès aux</w:t>
            </w:r>
            <w:r w:rsidR="002763F0">
              <w:t xml:space="preserve"> gares et </w:t>
            </w:r>
            <w:r w:rsidR="00BD38D1">
              <w:t xml:space="preserve">aux </w:t>
            </w:r>
            <w:r w:rsidR="002763F0">
              <w:t>aménagements de transport routier</w:t>
            </w:r>
            <w:r w:rsidR="00FB28BD">
              <w:t> ; enfin, elle</w:t>
            </w:r>
            <w:r w:rsidR="000917F3">
              <w:t xml:space="preserve"> observe le marché, notamment pour s’assurer de son bon fonctionnement concurrentiel.</w:t>
            </w:r>
          </w:p>
        </w:tc>
      </w:tr>
      <w:tr w:rsidR="0065526E" w14:paraId="00EE8EA5" w14:textId="77777777" w:rsidTr="00D02DE6">
        <w:tc>
          <w:tcPr>
            <w:tcW w:w="1292" w:type="dxa"/>
            <w:vAlign w:val="center"/>
          </w:tcPr>
          <w:p w14:paraId="22362A6F" w14:textId="3633F376" w:rsidR="00545BA2" w:rsidRDefault="002763F0" w:rsidP="00006925">
            <w:pPr>
              <w:pStyle w:val="Icne"/>
            </w:pPr>
            <w:r>
              <w:drawing>
                <wp:inline distT="0" distB="0" distL="0" distR="0" wp14:anchorId="7F8D5550" wp14:editId="6C0EDAD1">
                  <wp:extent cx="432000" cy="432000"/>
                  <wp:effectExtent l="0" t="0" r="6350" b="0"/>
                  <wp:docPr id="8" name="Graphique 8" descr="Voitur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que 8" descr="Voiture avec un remplissage uni"/>
                          <pic:cNvPicPr/>
                        </pic:nvPicPr>
                        <pic:blipFill>
                          <a:blip r:embed="rId27">
                            <a:extLst>
                              <a:ext uri="{96DAC541-7B7A-43D3-8B79-37D633B846F1}">
                                <asvg:svgBlip xmlns:asvg="http://schemas.microsoft.com/office/drawing/2016/SVG/main" r:embed="rId28"/>
                              </a:ext>
                            </a:extLst>
                          </a:blip>
                          <a:stretch>
                            <a:fillRect/>
                          </a:stretch>
                        </pic:blipFill>
                        <pic:spPr>
                          <a:xfrm>
                            <a:off x="0" y="0"/>
                            <a:ext cx="432000" cy="432000"/>
                          </a:xfrm>
                          <a:prstGeom prst="rect">
                            <a:avLst/>
                          </a:prstGeom>
                        </pic:spPr>
                      </pic:pic>
                    </a:graphicData>
                  </a:graphic>
                </wp:inline>
              </w:drawing>
            </w:r>
          </w:p>
        </w:tc>
        <w:tc>
          <w:tcPr>
            <w:tcW w:w="7922" w:type="dxa"/>
          </w:tcPr>
          <w:p w14:paraId="5E59A5D0" w14:textId="32F2CBA3" w:rsidR="00BC7BD1" w:rsidRDefault="00BC7BD1" w:rsidP="00006925">
            <w:pPr>
              <w:pStyle w:val="Tableaucentr"/>
            </w:pPr>
            <w:r>
              <w:t>Autoroutier</w:t>
            </w:r>
          </w:p>
          <w:p w14:paraId="1306A4D7" w14:textId="6C13D2C3" w:rsidR="0065526E" w:rsidRDefault="00545BA2" w:rsidP="00006925">
            <w:pPr>
              <w:pStyle w:val="Tableaulongcontenu"/>
              <w:rPr>
                <w:b/>
                <w:bCs/>
              </w:rPr>
            </w:pPr>
            <w:r>
              <w:t xml:space="preserve">Elle veille </w:t>
            </w:r>
            <w:r w:rsidR="000917F3" w:rsidRPr="000917F3">
              <w:t xml:space="preserve">à ce que le péage reflète le </w:t>
            </w:r>
            <w:r w:rsidR="00FB28BD">
              <w:t xml:space="preserve">coût du </w:t>
            </w:r>
            <w:r w:rsidR="000917F3" w:rsidRPr="000917F3">
              <w:t>service rendu aux usagers circulant sur le réseau autoroutier concédé, notamment (i) lors de la passation d’avenants aux contrats de conces</w:t>
            </w:r>
            <w:r w:rsidR="00FB28BD">
              <w:t>s</w:t>
            </w:r>
            <w:r w:rsidR="000917F3" w:rsidRPr="000917F3">
              <w:t xml:space="preserve">ion </w:t>
            </w:r>
            <w:r w:rsidR="00FB28BD">
              <w:t xml:space="preserve">ayant pour objet, </w:t>
            </w:r>
            <w:r w:rsidR="000917F3" w:rsidRPr="000917F3">
              <w:t>par exemple</w:t>
            </w:r>
            <w:r w:rsidR="00FB28BD">
              <w:t>,</w:t>
            </w:r>
            <w:r w:rsidR="000917F3" w:rsidRPr="000917F3">
              <w:t xml:space="preserve"> la réalisation de nouveaux aménagements et (ii) en assurant un suivi économique et financier du secteur</w:t>
            </w:r>
            <w:r w:rsidR="000917F3">
              <w:t>. E</w:t>
            </w:r>
            <w:r w:rsidR="000917F3">
              <w:rPr>
                <w:rFonts w:eastAsia="Calibri"/>
              </w:rPr>
              <w:t>lle contrôle par ailleurs les modalités de passation des marchés et contrats passés par les sociétés concessionnaires d’autoroutes.</w:t>
            </w:r>
          </w:p>
        </w:tc>
      </w:tr>
      <w:tr w:rsidR="0065526E" w14:paraId="693C25BA" w14:textId="77777777" w:rsidTr="00D02DE6">
        <w:tc>
          <w:tcPr>
            <w:tcW w:w="1292" w:type="dxa"/>
            <w:vAlign w:val="center"/>
          </w:tcPr>
          <w:p w14:paraId="5AE30ECE" w14:textId="11A229E3" w:rsidR="0065526E" w:rsidRDefault="00647ADA" w:rsidP="007E5A81">
            <w:pPr>
              <w:pStyle w:val="Icne"/>
              <w:rPr>
                <w:bCs/>
              </w:rPr>
            </w:pPr>
            <w:r>
              <w:rPr>
                <w:bCs/>
              </w:rPr>
              <w:drawing>
                <wp:inline distT="0" distB="0" distL="0" distR="0" wp14:anchorId="152DB31F" wp14:editId="21E77815">
                  <wp:extent cx="432000" cy="432000"/>
                  <wp:effectExtent l="0" t="0" r="0" b="6350"/>
                  <wp:docPr id="13" name="Graphique 13" descr="Vibration du téléphon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que 13" descr="Vibration du téléphone avec un remplissage uni"/>
                          <pic:cNvPicPr/>
                        </pic:nvPicPr>
                        <pic:blipFill>
                          <a:blip r:embed="rId29">
                            <a:extLst>
                              <a:ext uri="{96DAC541-7B7A-43D3-8B79-37D633B846F1}">
                                <asvg:svgBlip xmlns:asvg="http://schemas.microsoft.com/office/drawing/2016/SVG/main" r:embed="rId30"/>
                              </a:ext>
                            </a:extLst>
                          </a:blip>
                          <a:stretch>
                            <a:fillRect/>
                          </a:stretch>
                        </pic:blipFill>
                        <pic:spPr>
                          <a:xfrm>
                            <a:off x="0" y="0"/>
                            <a:ext cx="432000" cy="432000"/>
                          </a:xfrm>
                          <a:prstGeom prst="rect">
                            <a:avLst/>
                          </a:prstGeom>
                        </pic:spPr>
                      </pic:pic>
                    </a:graphicData>
                  </a:graphic>
                </wp:inline>
              </w:drawing>
            </w:r>
          </w:p>
        </w:tc>
        <w:tc>
          <w:tcPr>
            <w:tcW w:w="7922" w:type="dxa"/>
          </w:tcPr>
          <w:p w14:paraId="14046246" w14:textId="60533DD0" w:rsidR="00BC7BD1" w:rsidRDefault="00BC7BD1" w:rsidP="007E5A81">
            <w:pPr>
              <w:pStyle w:val="Tableaucentr"/>
            </w:pPr>
            <w:r>
              <w:t>Données numériques de mobilité</w:t>
            </w:r>
          </w:p>
          <w:p w14:paraId="53BBDDE3" w14:textId="41B1D16D" w:rsidR="0065526E" w:rsidRDefault="00BC7BD1" w:rsidP="007E5A81">
            <w:pPr>
              <w:pStyle w:val="Tableaulongcontenu"/>
              <w:rPr>
                <w:b/>
                <w:bCs/>
              </w:rPr>
            </w:pPr>
            <w:r>
              <w:t>L’ART</w:t>
            </w:r>
            <w:r w:rsidR="00545BA2">
              <w:t xml:space="preserve"> œuvre pour que les exploitants de services numériques de mobilité, tels que les calculateurs d’itinéraire</w:t>
            </w:r>
            <w:r w:rsidR="000917F3">
              <w:t xml:space="preserve"> ou les applications de billettique multimodale</w:t>
            </w:r>
            <w:r w:rsidR="00545BA2">
              <w:t>, puissent</w:t>
            </w:r>
            <w:r w:rsidR="000917F3">
              <w:t xml:space="preserve"> se développer en ayant</w:t>
            </w:r>
            <w:r w:rsidR="00545BA2">
              <w:t xml:space="preserve"> accès </w:t>
            </w:r>
            <w:r w:rsidR="00FB28BD">
              <w:t>à des</w:t>
            </w:r>
            <w:r w:rsidR="00545BA2">
              <w:t xml:space="preserve"> données </w:t>
            </w:r>
            <w:r w:rsidR="000917F3">
              <w:t xml:space="preserve">de mobilité </w:t>
            </w:r>
            <w:r w:rsidR="00FB28BD">
              <w:t>fiables</w:t>
            </w:r>
            <w:r w:rsidR="00FE78D2">
              <w:t>, neutres</w:t>
            </w:r>
            <w:r w:rsidR="00FB28BD">
              <w:t xml:space="preserve"> et à jour ainsi qu’</w:t>
            </w:r>
            <w:r w:rsidR="000917F3">
              <w:t xml:space="preserve">aux services numériques de vente locaux </w:t>
            </w:r>
            <w:r w:rsidR="00545BA2">
              <w:t>pertinents</w:t>
            </w:r>
            <w:r w:rsidR="00652F55">
              <w:t>.</w:t>
            </w:r>
          </w:p>
        </w:tc>
      </w:tr>
    </w:tbl>
    <w:p w14:paraId="397E2F42" w14:textId="0868A858" w:rsidR="00E32353" w:rsidRPr="007E5A81" w:rsidRDefault="00212DEC" w:rsidP="007E5A81">
      <w:pPr>
        <w:pStyle w:val="Emphase"/>
      </w:pPr>
      <w:r>
        <w:t>É</w:t>
      </w:r>
      <w:r w:rsidR="00E32353" w:rsidRPr="007E5A81">
        <w:t>tudes et observation des marchés</w:t>
      </w:r>
    </w:p>
    <w:p w14:paraId="2B5CCA0F" w14:textId="3A2DC1F6" w:rsidR="00B20FB7" w:rsidRDefault="00E32353" w:rsidP="003F01EF">
      <w:r>
        <w:rPr>
          <w:b/>
          <w:bCs/>
        </w:rPr>
        <w:lastRenderedPageBreak/>
        <w:t xml:space="preserve">En outre, </w:t>
      </w:r>
      <w:r w:rsidR="00E518E1">
        <w:rPr>
          <w:b/>
          <w:bCs/>
        </w:rPr>
        <w:t>l</w:t>
      </w:r>
      <w:r w:rsidR="00B20FB7" w:rsidRPr="00CB587D">
        <w:rPr>
          <w:b/>
          <w:bCs/>
        </w:rPr>
        <w:t xml:space="preserve">es travaux de l’ART </w:t>
      </w:r>
      <w:r w:rsidR="00EF55E3">
        <w:rPr>
          <w:b/>
          <w:bCs/>
        </w:rPr>
        <w:t>participent à la transparence du secteur</w:t>
      </w:r>
      <w:r w:rsidR="00B20FB7" w:rsidRPr="00CB587D">
        <w:rPr>
          <w:b/>
          <w:bCs/>
        </w:rPr>
        <w:t>.</w:t>
      </w:r>
      <w:r w:rsidR="00B20FB7">
        <w:t xml:space="preserve"> L’ART </w:t>
      </w:r>
      <w:r w:rsidR="00571EDB" w:rsidRPr="00571EDB">
        <w:t xml:space="preserve">réalise </w:t>
      </w:r>
      <w:r w:rsidR="00E518E1">
        <w:t xml:space="preserve">ainsi </w:t>
      </w:r>
      <w:r w:rsidR="00571EDB" w:rsidRPr="00571EDB">
        <w:t>des études visant à améliorer la connaissance des secteurs qu’elle régule</w:t>
      </w:r>
      <w:r w:rsidR="008F2313">
        <w:t xml:space="preserve">. </w:t>
      </w:r>
      <w:r w:rsidR="00B20FB7">
        <w:t>Elle</w:t>
      </w:r>
      <w:r w:rsidR="00046CDD" w:rsidRPr="00046CDD">
        <w:t xml:space="preserve"> </w:t>
      </w:r>
      <w:r w:rsidR="008F2313">
        <w:t xml:space="preserve">joue </w:t>
      </w:r>
      <w:r w:rsidR="00E518E1">
        <w:t>un rôle de tiers de confiance</w:t>
      </w:r>
      <w:r w:rsidR="00046CDD" w:rsidRPr="00046CDD">
        <w:t xml:space="preserve"> </w:t>
      </w:r>
      <w:r w:rsidR="00E518E1">
        <w:t>par l’indépendance, l’expertise et l’objectivité des analyses qu’elle produit. Parmi ses plus récentes publications, on peut</w:t>
      </w:r>
      <w:r w:rsidR="00564E80">
        <w:t> </w:t>
      </w:r>
      <w:r w:rsidR="00E518E1">
        <w:t>noter</w:t>
      </w:r>
      <w:r w:rsidR="00AF56A4">
        <w:t> :</w:t>
      </w:r>
    </w:p>
    <w:p w14:paraId="157CA5A3" w14:textId="69E04B3A" w:rsidR="00C020EF" w:rsidRDefault="00212DEC" w:rsidP="00D02DE6">
      <w:pPr>
        <w:pStyle w:val="Paragraphedeliste"/>
        <w:numPr>
          <w:ilvl w:val="0"/>
          <w:numId w:val="12"/>
        </w:numPr>
        <w:spacing w:before="120" w:after="120"/>
        <w:ind w:left="714" w:hanging="357"/>
        <w:contextualSpacing w:val="0"/>
      </w:pPr>
      <w:r>
        <w:rPr>
          <w:b/>
          <w:bCs/>
        </w:rPr>
        <w:t>É</w:t>
      </w:r>
      <w:r w:rsidR="00E518E1" w:rsidRPr="008C63FD">
        <w:rPr>
          <w:b/>
          <w:bCs/>
        </w:rPr>
        <w:t xml:space="preserve">tude </w:t>
      </w:r>
      <w:r>
        <w:rPr>
          <w:b/>
          <w:bCs/>
        </w:rPr>
        <w:t xml:space="preserve">sur l’ouverture à la </w:t>
      </w:r>
      <w:r w:rsidR="00E518E1" w:rsidRPr="008C63FD">
        <w:rPr>
          <w:b/>
          <w:bCs/>
        </w:rPr>
        <w:t xml:space="preserve">concurrence </w:t>
      </w:r>
      <w:r>
        <w:rPr>
          <w:b/>
          <w:bCs/>
        </w:rPr>
        <w:t xml:space="preserve">du transport </w:t>
      </w:r>
      <w:r w:rsidR="00E518E1" w:rsidRPr="008C63FD">
        <w:rPr>
          <w:b/>
          <w:bCs/>
        </w:rPr>
        <w:t xml:space="preserve">ferroviaire </w:t>
      </w:r>
      <w:r w:rsidRPr="008C63FD">
        <w:rPr>
          <w:b/>
          <w:bCs/>
        </w:rPr>
        <w:t>–</w:t>
      </w:r>
      <w:r>
        <w:rPr>
          <w:b/>
          <w:bCs/>
        </w:rPr>
        <w:t xml:space="preserve"> </w:t>
      </w:r>
      <w:r w:rsidR="00E518E1" w:rsidRPr="008C63FD">
        <w:rPr>
          <w:b/>
          <w:bCs/>
        </w:rPr>
        <w:t>F</w:t>
      </w:r>
      <w:r w:rsidR="00C020EF" w:rsidRPr="008C63FD">
        <w:rPr>
          <w:b/>
          <w:bCs/>
        </w:rPr>
        <w:t>évrier</w:t>
      </w:r>
      <w:r w:rsidR="00C020EF" w:rsidRPr="008C63FD">
        <w:rPr>
          <w:b/>
        </w:rPr>
        <w:t> 2022</w:t>
      </w:r>
      <w:r w:rsidR="00E518E1" w:rsidRPr="008C63FD">
        <w:t> </w:t>
      </w:r>
      <w:r w:rsidR="00E518E1">
        <w:t>:</w:t>
      </w:r>
      <w:r w:rsidR="00C020EF" w:rsidRPr="2A3506B3">
        <w:t xml:space="preserve"> une nouvelle édition </w:t>
      </w:r>
      <w:r w:rsidR="00C020EF">
        <w:t>de l’</w:t>
      </w:r>
      <w:r w:rsidR="00C020EF" w:rsidRPr="2A3506B3">
        <w:t>étude</w:t>
      </w:r>
      <w:r w:rsidR="00C020EF" w:rsidRPr="00C020EF">
        <w:t xml:space="preserve"> </w:t>
      </w:r>
      <w:r w:rsidR="00C020EF" w:rsidRPr="00DF3361">
        <w:t>relative à l’ouverture à la concurrence des services domestiques de transport ferroviaire de voyageurs</w:t>
      </w:r>
      <w:r w:rsidR="00C020EF" w:rsidRPr="2A3506B3">
        <w:t xml:space="preserve"> qui a permis de dresser un état des lieux des conditions d’accès au système ferroviaire</w:t>
      </w:r>
      <w:r w:rsidR="00492912">
        <w:t xml:space="preserve"> et</w:t>
      </w:r>
      <w:r w:rsidR="00C020EF" w:rsidRPr="2A3506B3">
        <w:t xml:space="preserve"> d’identifier les freins persistant à l’entrée sur le marché</w:t>
      </w:r>
      <w:r w:rsidR="00034666">
        <w:t> </w:t>
      </w:r>
      <w:r w:rsidR="00C020EF">
        <w:t>;</w:t>
      </w:r>
    </w:p>
    <w:p w14:paraId="7D98BFED" w14:textId="0876DE07" w:rsidR="008C63FD" w:rsidRPr="00C04749" w:rsidRDefault="008C63FD" w:rsidP="00D02DE6">
      <w:pPr>
        <w:pStyle w:val="Paragraphedeliste"/>
        <w:numPr>
          <w:ilvl w:val="0"/>
          <w:numId w:val="12"/>
        </w:numPr>
        <w:spacing w:before="120" w:after="120"/>
        <w:ind w:left="714" w:hanging="357"/>
        <w:contextualSpacing w:val="0"/>
      </w:pPr>
      <w:r w:rsidRPr="008C63FD">
        <w:rPr>
          <w:b/>
          <w:bCs/>
        </w:rPr>
        <w:t>Sc</w:t>
      </w:r>
      <w:r w:rsidR="00212DEC">
        <w:rPr>
          <w:b/>
          <w:bCs/>
        </w:rPr>
        <w:t>é</w:t>
      </w:r>
      <w:r w:rsidRPr="008C63FD">
        <w:rPr>
          <w:b/>
          <w:bCs/>
        </w:rPr>
        <w:t>nario</w:t>
      </w:r>
      <w:r w:rsidR="00212DEC">
        <w:rPr>
          <w:b/>
          <w:bCs/>
        </w:rPr>
        <w:t>s</w:t>
      </w:r>
      <w:r w:rsidRPr="008C63FD">
        <w:rPr>
          <w:b/>
          <w:bCs/>
        </w:rPr>
        <w:t xml:space="preserve"> </w:t>
      </w:r>
      <w:r w:rsidR="00174407">
        <w:rPr>
          <w:b/>
          <w:bCs/>
        </w:rPr>
        <w:t xml:space="preserve">de long terme </w:t>
      </w:r>
      <w:r w:rsidRPr="008C63FD">
        <w:rPr>
          <w:b/>
          <w:bCs/>
        </w:rPr>
        <w:t>pour l’avenir du réseau ferr</w:t>
      </w:r>
      <w:r w:rsidR="00174407">
        <w:rPr>
          <w:b/>
          <w:bCs/>
        </w:rPr>
        <w:t>oviaire</w:t>
      </w:r>
      <w:r w:rsidRPr="008C63FD">
        <w:rPr>
          <w:b/>
          <w:bCs/>
        </w:rPr>
        <w:t xml:space="preserve"> – Juillet 2023 : </w:t>
      </w:r>
      <w:r w:rsidR="00F417E3" w:rsidRPr="00C04749">
        <w:t>l’ART</w:t>
      </w:r>
      <w:r w:rsidR="00F417E3">
        <w:t xml:space="preserve"> a montré</w:t>
      </w:r>
      <w:r w:rsidR="00212DEC">
        <w:t>,</w:t>
      </w:r>
      <w:r w:rsidR="00F417E3">
        <w:t xml:space="preserve"> par une étude prospective sur 20 ans</w:t>
      </w:r>
      <w:r w:rsidR="00515F46">
        <w:t xml:space="preserve">, </w:t>
      </w:r>
      <w:r w:rsidR="004A5227">
        <w:t>que l</w:t>
      </w:r>
      <w:r w:rsidR="004A5227" w:rsidRPr="004A5227">
        <w:t>e réseau ferroviaire français se trouve à la croisée des c</w:t>
      </w:r>
      <w:r w:rsidR="000A6A90">
        <w:t>h</w:t>
      </w:r>
      <w:r w:rsidR="004A5227" w:rsidRPr="004A5227">
        <w:t>emins</w:t>
      </w:r>
      <w:r w:rsidR="008E4FDC">
        <w:t> </w:t>
      </w:r>
      <w:r w:rsidR="004A5227" w:rsidRPr="004A5227">
        <w:t>: alors que le maintien des trajectoires d’investissement actuelles conduirait le gestionnaire d’infrastructure dans une spirale de paupérisation industrielle, un effort ambitieux consacré en priorité au renouvellement et à la modernisation du réseau existant permettrait, à l’inverse, de développer le mode ferroviaire, en cohérence avec les ambitions portées en matière de décarbonation des transports</w:t>
      </w:r>
      <w:r w:rsidR="00564E80">
        <w:t> </w:t>
      </w:r>
      <w:r w:rsidR="00006925">
        <w:t>;</w:t>
      </w:r>
    </w:p>
    <w:p w14:paraId="460CE3C5" w14:textId="6C429149" w:rsidR="00EF55E3" w:rsidRDefault="00212DEC" w:rsidP="00D02DE6">
      <w:pPr>
        <w:pStyle w:val="Paragraphedeliste"/>
        <w:numPr>
          <w:ilvl w:val="0"/>
          <w:numId w:val="12"/>
        </w:numPr>
        <w:spacing w:before="120" w:after="120"/>
        <w:ind w:left="714" w:hanging="357"/>
        <w:contextualSpacing w:val="0"/>
      </w:pPr>
      <w:r>
        <w:rPr>
          <w:b/>
          <w:bCs/>
        </w:rPr>
        <w:t>Économie générale des concessions d’</w:t>
      </w:r>
      <w:r w:rsidR="00E518E1" w:rsidRPr="008C63FD">
        <w:rPr>
          <w:b/>
          <w:bCs/>
        </w:rPr>
        <w:t>autoroutes – Novembre 2020 et janvier 2023 :</w:t>
      </w:r>
      <w:r w:rsidR="00E518E1" w:rsidRPr="008C63FD">
        <w:t xml:space="preserve"> </w:t>
      </w:r>
      <w:r w:rsidR="00562E93">
        <w:t>l</w:t>
      </w:r>
      <w:r w:rsidR="00571EDB" w:rsidRPr="00571EDB">
        <w:t>’A</w:t>
      </w:r>
      <w:r w:rsidR="00492912">
        <w:t>RT</w:t>
      </w:r>
      <w:r w:rsidR="00571EDB" w:rsidRPr="00571EDB">
        <w:t xml:space="preserve"> a apporté un éclairage indépendant</w:t>
      </w:r>
      <w:r w:rsidR="00151ED7">
        <w:t xml:space="preserve"> </w:t>
      </w:r>
      <w:r w:rsidR="00571EDB" w:rsidRPr="00571EDB">
        <w:t>et circonstancié sur la question de la rentabilité des sociétés concessionnaires d’autoroutes</w:t>
      </w:r>
      <w:r>
        <w:t xml:space="preserve"> </w:t>
      </w:r>
      <w:r w:rsidR="00026652">
        <w:t>et formulé des propositions pour l’avenir du secteur autoroutier concédé</w:t>
      </w:r>
      <w:r w:rsidR="00564E80">
        <w:t> </w:t>
      </w:r>
      <w:r w:rsidR="00532B8C">
        <w:t>;</w:t>
      </w:r>
    </w:p>
    <w:p w14:paraId="39DC061C" w14:textId="7E17DE72" w:rsidR="003F01EF" w:rsidRDefault="00026652" w:rsidP="00D02DE6">
      <w:pPr>
        <w:pStyle w:val="Paragraphedeliste"/>
        <w:numPr>
          <w:ilvl w:val="0"/>
          <w:numId w:val="12"/>
        </w:numPr>
        <w:spacing w:before="120" w:after="120"/>
        <w:ind w:left="714" w:hanging="357"/>
        <w:contextualSpacing w:val="0"/>
      </w:pPr>
      <w:r>
        <w:rPr>
          <w:b/>
          <w:bCs/>
        </w:rPr>
        <w:t>É</w:t>
      </w:r>
      <w:r w:rsidR="008C63FD" w:rsidRPr="008C63FD">
        <w:rPr>
          <w:b/>
          <w:bCs/>
        </w:rPr>
        <w:t>volution du cadre de régulation aéroportuaire - S</w:t>
      </w:r>
      <w:r w:rsidR="00C020EF" w:rsidRPr="008C63FD">
        <w:rPr>
          <w:b/>
          <w:bCs/>
        </w:rPr>
        <w:t>eptembre</w:t>
      </w:r>
      <w:r w:rsidR="00C020EF" w:rsidRPr="008C63FD">
        <w:rPr>
          <w:b/>
        </w:rPr>
        <w:t xml:space="preserve"> 2023</w:t>
      </w:r>
      <w:r w:rsidR="008C63FD" w:rsidRPr="008C63FD">
        <w:rPr>
          <w:b/>
          <w:bCs/>
        </w:rPr>
        <w:t> :</w:t>
      </w:r>
      <w:r w:rsidR="00C020EF">
        <w:t xml:space="preserve"> </w:t>
      </w:r>
      <w:r w:rsidR="00C020EF" w:rsidRPr="00C020EF">
        <w:t xml:space="preserve">l’ART </w:t>
      </w:r>
      <w:r w:rsidR="00C020EF">
        <w:t xml:space="preserve">a </w:t>
      </w:r>
      <w:r w:rsidR="00C020EF" w:rsidRPr="00C020EF">
        <w:t>publi</w:t>
      </w:r>
      <w:r w:rsidR="00C020EF">
        <w:t>é</w:t>
      </w:r>
      <w:r w:rsidR="00C020EF" w:rsidRPr="00C020EF">
        <w:t xml:space="preserve"> un rapport dans lequel elle formule des recommandations concrètes pour améliorer le cadre de régulation aéroportuaire, pouvant être mises en œuvre, pour l’essentiel, à cadre législatif constant</w:t>
      </w:r>
      <w:bookmarkEnd w:id="12"/>
      <w:r w:rsidR="008C63FD">
        <w:t> ;</w:t>
      </w:r>
    </w:p>
    <w:p w14:paraId="6FBE206E" w14:textId="08857D2E" w:rsidR="002371AE" w:rsidRDefault="008C63FD" w:rsidP="00D02DE6">
      <w:pPr>
        <w:pStyle w:val="Paragraphedeliste"/>
        <w:numPr>
          <w:ilvl w:val="0"/>
          <w:numId w:val="12"/>
        </w:numPr>
        <w:spacing w:before="120" w:after="120"/>
        <w:contextualSpacing w:val="0"/>
      </w:pPr>
      <w:r w:rsidRPr="008C63FD">
        <w:rPr>
          <w:b/>
          <w:bCs/>
        </w:rPr>
        <w:t>Rapports multimodaux</w:t>
      </w:r>
      <w:r>
        <w:t> </w:t>
      </w:r>
      <w:r w:rsidR="00C04749" w:rsidRPr="00C04749">
        <w:rPr>
          <w:b/>
          <w:bCs/>
        </w:rPr>
        <w:t xml:space="preserve">– Décembre 2021 et décembre 2022 </w:t>
      </w:r>
      <w:r w:rsidRPr="00C04749">
        <w:rPr>
          <w:b/>
        </w:rPr>
        <w:t>:</w:t>
      </w:r>
      <w:r>
        <w:t xml:space="preserve"> </w:t>
      </w:r>
      <w:r w:rsidR="00026652">
        <w:t>l’ART</w:t>
      </w:r>
      <w:r w:rsidRPr="008C63FD">
        <w:t xml:space="preserve"> </w:t>
      </w:r>
      <w:r>
        <w:t xml:space="preserve">a également publié deux rapports </w:t>
      </w:r>
      <w:r w:rsidR="004715BE">
        <w:t>com</w:t>
      </w:r>
      <w:r>
        <w:t>portant des analyses transversales au secteur des transports</w:t>
      </w:r>
      <w:r w:rsidR="003E5FE4">
        <w:t>, qui s’ajoutent aux publications sectorielles</w:t>
      </w:r>
      <w:r w:rsidR="00026652">
        <w:t>,</w:t>
      </w:r>
      <w:r w:rsidR="003E5FE4">
        <w:t xml:space="preserve"> notamment ses bilans ferroviaires</w:t>
      </w:r>
      <w:r>
        <w:t>.</w:t>
      </w:r>
    </w:p>
    <w:p w14:paraId="3988CEAD" w14:textId="6CE7AB6C" w:rsidR="007F79F7" w:rsidRDefault="00C04749" w:rsidP="00B657BC">
      <w:pPr>
        <w:pStyle w:val="Titre2"/>
      </w:pPr>
      <w:bookmarkStart w:id="13" w:name="_Toc153185286"/>
      <w:bookmarkStart w:id="14" w:name="_Toc153200494"/>
      <w:bookmarkStart w:id="15" w:name="_Toc153287149"/>
      <w:bookmarkStart w:id="16" w:name="_Toc152196486"/>
      <w:bookmarkStart w:id="17" w:name="_Toc152245596"/>
      <w:bookmarkStart w:id="18" w:name="_Toc152245597"/>
      <w:bookmarkStart w:id="19" w:name="_Toc152245598"/>
      <w:bookmarkStart w:id="20" w:name="_Toc152245599"/>
      <w:bookmarkStart w:id="21" w:name="_Toc152245600"/>
      <w:bookmarkStart w:id="22" w:name="_Toc152245601"/>
      <w:bookmarkStart w:id="23" w:name="_Toc156394038"/>
      <w:bookmarkEnd w:id="13"/>
      <w:bookmarkEnd w:id="14"/>
      <w:bookmarkEnd w:id="15"/>
      <w:bookmarkEnd w:id="16"/>
      <w:bookmarkEnd w:id="17"/>
      <w:bookmarkEnd w:id="18"/>
      <w:bookmarkEnd w:id="19"/>
      <w:bookmarkEnd w:id="20"/>
      <w:bookmarkEnd w:id="21"/>
      <w:bookmarkEnd w:id="22"/>
      <w:r>
        <w:t xml:space="preserve">Une autorité </w:t>
      </w:r>
      <w:r w:rsidR="00006925">
        <w:t>publique indépendante</w:t>
      </w:r>
      <w:r w:rsidR="00FD7659">
        <w:t>, partie prenante de</w:t>
      </w:r>
      <w:r w:rsidR="00006925">
        <w:t xml:space="preserve"> </w:t>
      </w:r>
      <w:r>
        <w:t>son écosystème</w:t>
      </w:r>
      <w:bookmarkEnd w:id="23"/>
      <w:r w:rsidR="007F79F7">
        <w:t xml:space="preserve"> </w:t>
      </w:r>
    </w:p>
    <w:p w14:paraId="5D0DB522" w14:textId="75C560EE" w:rsidR="007F79F7" w:rsidRDefault="00066C2B" w:rsidP="006803DC">
      <w:r>
        <w:rPr>
          <w:b/>
          <w:bCs/>
        </w:rPr>
        <w:t>Dans son rôle d</w:t>
      </w:r>
      <w:r w:rsidR="00034666" w:rsidRPr="00484115">
        <w:rPr>
          <w:b/>
          <w:bCs/>
        </w:rPr>
        <w:t>’</w:t>
      </w:r>
      <w:r w:rsidR="00AF56A4" w:rsidRPr="00484115">
        <w:rPr>
          <w:b/>
          <w:bCs/>
        </w:rPr>
        <w:t>a</w:t>
      </w:r>
      <w:r w:rsidR="00034666" w:rsidRPr="00484115">
        <w:rPr>
          <w:b/>
          <w:bCs/>
        </w:rPr>
        <w:t>utorité</w:t>
      </w:r>
      <w:r w:rsidR="007F79F7" w:rsidRPr="00195B9A">
        <w:rPr>
          <w:b/>
          <w:bCs/>
        </w:rPr>
        <w:t xml:space="preserve"> publique </w:t>
      </w:r>
      <w:r w:rsidR="00AF56A4" w:rsidRPr="00484115">
        <w:rPr>
          <w:b/>
          <w:bCs/>
        </w:rPr>
        <w:t>indépendante</w:t>
      </w:r>
      <w:r w:rsidR="00026652">
        <w:rPr>
          <w:rStyle w:val="Appelnotedebasdep"/>
          <w:bCs/>
        </w:rPr>
        <w:footnoteReference w:id="6"/>
      </w:r>
      <w:r>
        <w:rPr>
          <w:b/>
          <w:bCs/>
        </w:rPr>
        <w:t>, l’ART</w:t>
      </w:r>
      <w:r w:rsidR="00AF56A4" w:rsidRPr="00484115">
        <w:rPr>
          <w:b/>
          <w:bCs/>
        </w:rPr>
        <w:t xml:space="preserve"> </w:t>
      </w:r>
      <w:r w:rsidR="00034666" w:rsidRPr="00484115">
        <w:rPr>
          <w:b/>
          <w:bCs/>
        </w:rPr>
        <w:t>participe</w:t>
      </w:r>
      <w:r w:rsidR="00034666" w:rsidRPr="00484115">
        <w:rPr>
          <w:b/>
        </w:rPr>
        <w:t xml:space="preserve"> au bon fonctionnement </w:t>
      </w:r>
      <w:r>
        <w:rPr>
          <w:b/>
        </w:rPr>
        <w:t xml:space="preserve">du secteur </w:t>
      </w:r>
      <w:r w:rsidR="00034666" w:rsidRPr="00484115">
        <w:rPr>
          <w:b/>
        </w:rPr>
        <w:t>des transports.</w:t>
      </w:r>
      <w:r w:rsidR="00034666">
        <w:t xml:space="preserve"> </w:t>
      </w:r>
      <w:r w:rsidR="00F078D0">
        <w:t>Elle</w:t>
      </w:r>
      <w:r w:rsidR="00034666">
        <w:t xml:space="preserve"> </w:t>
      </w:r>
      <w:r w:rsidR="003155A1">
        <w:t>agi</w:t>
      </w:r>
      <w:r>
        <w:t>t</w:t>
      </w:r>
      <w:r w:rsidR="003155A1">
        <w:t xml:space="preserve"> en lien </w:t>
      </w:r>
      <w:r w:rsidR="00BF54B2" w:rsidRPr="00BF54B2">
        <w:t xml:space="preserve">avec de nombreuses parties prenantes – acteurs des secteurs régulés, </w:t>
      </w:r>
      <w:r w:rsidR="00034666">
        <w:t xml:space="preserve">autres </w:t>
      </w:r>
      <w:r w:rsidR="00BF54B2" w:rsidRPr="00BF54B2">
        <w:t xml:space="preserve">acteurs institutionnels publics </w:t>
      </w:r>
      <w:r w:rsidR="00497237">
        <w:t>(Gouvernement, Parlement, Cour des comptes, institutions européennes, etc.)</w:t>
      </w:r>
      <w:r w:rsidR="00BF54B2" w:rsidRPr="00BF54B2">
        <w:t xml:space="preserve"> </w:t>
      </w:r>
      <w:r w:rsidR="00755F2A">
        <w:t>et</w:t>
      </w:r>
      <w:r w:rsidR="00BF54B2" w:rsidRPr="00BF54B2">
        <w:t xml:space="preserve"> autres régulateurs européens.</w:t>
      </w:r>
      <w:r w:rsidR="007F79F7">
        <w:t xml:space="preserve"> </w:t>
      </w:r>
      <w:r w:rsidR="007F79F7" w:rsidRPr="006E5ED7">
        <w:t>L’A</w:t>
      </w:r>
      <w:r w:rsidR="00BF54B2">
        <w:t>RT</w:t>
      </w:r>
      <w:r w:rsidR="007F79F7" w:rsidRPr="006E5ED7">
        <w:t xml:space="preserve"> s’insère</w:t>
      </w:r>
      <w:r w:rsidR="00755F2A">
        <w:t xml:space="preserve"> ainsi</w:t>
      </w:r>
      <w:r w:rsidR="007F79F7" w:rsidRPr="006E5ED7">
        <w:t xml:space="preserve"> dans le paysage institutionnel en tant que régulateur économique sectoriel d’une industrie de réseau, </w:t>
      </w:r>
      <w:r w:rsidR="007F79F7">
        <w:t>au même titre que</w:t>
      </w:r>
      <w:r w:rsidR="00497237">
        <w:t xml:space="preserve"> </w:t>
      </w:r>
      <w:r w:rsidR="007F79F7" w:rsidRPr="006E5ED7">
        <w:t>la Commission de régulation de l’énergie (CRE) et l’Autorité de régulation des communications électroniques et des postes (A</w:t>
      </w:r>
      <w:r w:rsidR="007F79F7">
        <w:t>rcep</w:t>
      </w:r>
      <w:r w:rsidR="007F79F7" w:rsidRPr="006E5ED7">
        <w:t>)</w:t>
      </w:r>
      <w:r w:rsidR="00755F2A">
        <w:t xml:space="preserve"> dans leur</w:t>
      </w:r>
      <w:r w:rsidR="001F5C2A">
        <w:t>s</w:t>
      </w:r>
      <w:r w:rsidR="00755F2A">
        <w:t xml:space="preserve"> secteur</w:t>
      </w:r>
      <w:r w:rsidR="001F5C2A">
        <w:t>s</w:t>
      </w:r>
      <w:r w:rsidR="00755F2A">
        <w:t xml:space="preserve"> de compétences respectifs</w:t>
      </w:r>
      <w:r w:rsidR="007F79F7" w:rsidRPr="006E5ED7">
        <w:t>.</w:t>
      </w:r>
    </w:p>
    <w:p w14:paraId="0DCCAFCC" w14:textId="00B3641C" w:rsidR="00430ADC" w:rsidRDefault="007F79F7" w:rsidP="00E146A6">
      <w:pPr>
        <w:spacing w:after="0"/>
      </w:pPr>
      <w:r>
        <w:rPr>
          <w:b/>
          <w:bCs/>
        </w:rPr>
        <w:t>L</w:t>
      </w:r>
      <w:r w:rsidRPr="006E5ED7">
        <w:rPr>
          <w:b/>
          <w:bCs/>
        </w:rPr>
        <w:t>e cadre</w:t>
      </w:r>
      <w:r w:rsidRPr="006E5ED7" w:rsidDel="00C260A9">
        <w:rPr>
          <w:b/>
          <w:bCs/>
        </w:rPr>
        <w:t xml:space="preserve"> </w:t>
      </w:r>
      <w:r w:rsidRPr="006E5ED7">
        <w:rPr>
          <w:b/>
          <w:bCs/>
        </w:rPr>
        <w:t xml:space="preserve">relatif aux secteurs régulés et </w:t>
      </w:r>
      <w:r w:rsidR="00AA61ED">
        <w:rPr>
          <w:b/>
          <w:bCs/>
        </w:rPr>
        <w:t>aux missions de</w:t>
      </w:r>
      <w:r w:rsidRPr="006E5ED7">
        <w:rPr>
          <w:b/>
          <w:bCs/>
        </w:rPr>
        <w:t xml:space="preserve"> </w:t>
      </w:r>
      <w:r w:rsidR="003155A1">
        <w:rPr>
          <w:b/>
          <w:bCs/>
        </w:rPr>
        <w:t>l’ART</w:t>
      </w:r>
      <w:r w:rsidR="003155A1" w:rsidRPr="006E5ED7">
        <w:rPr>
          <w:b/>
          <w:bCs/>
        </w:rPr>
        <w:t xml:space="preserve"> </w:t>
      </w:r>
      <w:r>
        <w:rPr>
          <w:b/>
          <w:bCs/>
        </w:rPr>
        <w:t xml:space="preserve">est </w:t>
      </w:r>
      <w:r w:rsidR="00AA61ED">
        <w:rPr>
          <w:b/>
          <w:bCs/>
        </w:rPr>
        <w:t xml:space="preserve">défini </w:t>
      </w:r>
      <w:r>
        <w:rPr>
          <w:b/>
          <w:bCs/>
        </w:rPr>
        <w:t>par le Parlement</w:t>
      </w:r>
      <w:r w:rsidR="005F75A3" w:rsidRPr="00195B9A">
        <w:rPr>
          <w:b/>
          <w:bCs/>
        </w:rPr>
        <w:t>.</w:t>
      </w:r>
      <w:r w:rsidRPr="006E5ED7">
        <w:t xml:space="preserve"> </w:t>
      </w:r>
      <w:r>
        <w:t xml:space="preserve">C’est </w:t>
      </w:r>
      <w:r w:rsidR="00420738">
        <w:t xml:space="preserve">aussi </w:t>
      </w:r>
      <w:r>
        <w:t xml:space="preserve">devant le Parlement que </w:t>
      </w:r>
      <w:r w:rsidR="003155A1">
        <w:t xml:space="preserve">l’ART </w:t>
      </w:r>
      <w:r>
        <w:t xml:space="preserve">rend </w:t>
      </w:r>
      <w:r w:rsidR="00497237">
        <w:t xml:space="preserve">principalement </w:t>
      </w:r>
      <w:r w:rsidRPr="006E5ED7">
        <w:t>compte</w:t>
      </w:r>
      <w:r>
        <w:t xml:space="preserve"> de son action</w:t>
      </w:r>
      <w:r w:rsidR="00484115">
        <w:t xml:space="preserve">, </w:t>
      </w:r>
      <w:r w:rsidR="00420738">
        <w:t xml:space="preserve">laquelle </w:t>
      </w:r>
      <w:r w:rsidR="00484115">
        <w:t xml:space="preserve">est également soumise </w:t>
      </w:r>
      <w:r w:rsidR="00420738">
        <w:t xml:space="preserve">au </w:t>
      </w:r>
      <w:r w:rsidR="00484115">
        <w:t>contrôle du juge</w:t>
      </w:r>
      <w:r w:rsidR="00026652">
        <w:t xml:space="preserve"> administratif et, pour ce qui concerne les procédures de règlement de différends, </w:t>
      </w:r>
      <w:r w:rsidR="00420738">
        <w:t xml:space="preserve">au contrôle </w:t>
      </w:r>
      <w:r w:rsidR="00026652">
        <w:t>du juge judiciaire</w:t>
      </w:r>
      <w:r w:rsidR="00484115">
        <w:t>.</w:t>
      </w:r>
    </w:p>
    <w:p w14:paraId="7FA3CACE" w14:textId="6B960520" w:rsidR="006803DC" w:rsidRDefault="002167D8" w:rsidP="0096115F">
      <w:r w:rsidRPr="00195B9A">
        <w:rPr>
          <w:b/>
          <w:bCs/>
        </w:rPr>
        <w:t>L’</w:t>
      </w:r>
      <w:r w:rsidR="005F75A3" w:rsidRPr="00195B9A">
        <w:rPr>
          <w:b/>
          <w:bCs/>
        </w:rPr>
        <w:t xml:space="preserve">indépendance </w:t>
      </w:r>
      <w:r w:rsidR="00195B9A">
        <w:rPr>
          <w:b/>
          <w:bCs/>
        </w:rPr>
        <w:t xml:space="preserve">de </w:t>
      </w:r>
      <w:r w:rsidR="003155A1">
        <w:rPr>
          <w:b/>
          <w:bCs/>
        </w:rPr>
        <w:t xml:space="preserve">l’ART </w:t>
      </w:r>
      <w:r w:rsidR="005F75A3" w:rsidRPr="00195B9A">
        <w:rPr>
          <w:b/>
          <w:bCs/>
        </w:rPr>
        <w:t>constitue</w:t>
      </w:r>
      <w:r w:rsidR="00034666">
        <w:rPr>
          <w:b/>
          <w:bCs/>
        </w:rPr>
        <w:t xml:space="preserve"> </w:t>
      </w:r>
      <w:r w:rsidR="005F75A3" w:rsidRPr="00195B9A">
        <w:rPr>
          <w:b/>
          <w:bCs/>
        </w:rPr>
        <w:t>un gage de régulation impartiale.</w:t>
      </w:r>
      <w:r w:rsidR="005F75A3" w:rsidRPr="002924CA">
        <w:t xml:space="preserve"> </w:t>
      </w:r>
      <w:r w:rsidR="007F6A61" w:rsidRPr="00212602">
        <w:t xml:space="preserve">Conformément à son statut </w:t>
      </w:r>
      <w:r w:rsidR="00E539E9" w:rsidRPr="00212602">
        <w:t>d’</w:t>
      </w:r>
      <w:r w:rsidR="00E539E9">
        <w:t>a</w:t>
      </w:r>
      <w:r w:rsidR="00E539E9" w:rsidRPr="00212602">
        <w:t xml:space="preserve">utorité </w:t>
      </w:r>
      <w:r w:rsidR="00212602" w:rsidRPr="00212602">
        <w:t>publique indépendante</w:t>
      </w:r>
      <w:r w:rsidR="007F6A61" w:rsidRPr="00212602">
        <w:t>, et en application des textes européens</w:t>
      </w:r>
      <w:r w:rsidR="00497237">
        <w:t xml:space="preserve"> dans les secteurs ferroviaire et aéroportuaire</w:t>
      </w:r>
      <w:r w:rsidR="007F6A61" w:rsidRPr="00212602">
        <w:t xml:space="preserve">, </w:t>
      </w:r>
      <w:r w:rsidR="00212602" w:rsidRPr="00212602">
        <w:t xml:space="preserve">l’ART </w:t>
      </w:r>
      <w:r w:rsidR="00484115">
        <w:t>agi</w:t>
      </w:r>
      <w:r w:rsidR="005F7F2C">
        <w:t>t</w:t>
      </w:r>
      <w:r w:rsidR="00484115">
        <w:t xml:space="preserve"> de manière</w:t>
      </w:r>
      <w:r w:rsidR="007F6A61" w:rsidRPr="00212602">
        <w:t xml:space="preserve"> i</w:t>
      </w:r>
      <w:r w:rsidR="00212602">
        <w:t>m</w:t>
      </w:r>
      <w:r w:rsidR="007F6A61" w:rsidRPr="00212602">
        <w:t>partiale</w:t>
      </w:r>
      <w:r w:rsidR="00212602">
        <w:t xml:space="preserve"> vis-à-vis</w:t>
      </w:r>
      <w:r w:rsidR="00212602" w:rsidRPr="00212602">
        <w:t xml:space="preserve"> </w:t>
      </w:r>
      <w:r w:rsidR="00212602">
        <w:t>de l’ensemble des parties prenantes</w:t>
      </w:r>
      <w:r w:rsidR="005D5C71">
        <w:t>, publiques comme privées</w:t>
      </w:r>
      <w:r w:rsidR="00212602">
        <w:t xml:space="preserve"> (</w:t>
      </w:r>
      <w:r w:rsidR="00E539E9">
        <w:t>Gouvernement</w:t>
      </w:r>
      <w:r w:rsidR="00212602">
        <w:t>, autorités organisatrices des transports</w:t>
      </w:r>
      <w:r w:rsidR="005D5C71">
        <w:t xml:space="preserve">, </w:t>
      </w:r>
      <w:r w:rsidR="00212602">
        <w:lastRenderedPageBreak/>
        <w:t>opérateurs régulés, entreprises de transport</w:t>
      </w:r>
      <w:r w:rsidR="005D5C71">
        <w:t>, etc.</w:t>
      </w:r>
      <w:r w:rsidR="00212602">
        <w:t>)</w:t>
      </w:r>
      <w:r w:rsidR="005F7F2C">
        <w:t>. Elle</w:t>
      </w:r>
      <w:r w:rsidR="00990C06">
        <w:t xml:space="preserve"> dispose des moyens nécessaires à </w:t>
      </w:r>
      <w:r w:rsidR="005F7F2C">
        <w:t>cette fin</w:t>
      </w:r>
      <w:r w:rsidR="00990C06">
        <w:t>.</w:t>
      </w:r>
    </w:p>
    <w:p w14:paraId="257BED06" w14:textId="7B6E4EC4" w:rsidR="007939E6" w:rsidRPr="007939E6" w:rsidRDefault="00C04749" w:rsidP="00B657BC">
      <w:pPr>
        <w:pStyle w:val="Titre2"/>
        <w:rPr>
          <w:rFonts w:eastAsia="Calibri"/>
        </w:rPr>
      </w:pPr>
      <w:bookmarkStart w:id="24" w:name="_Toc156394039"/>
      <w:r>
        <w:rPr>
          <w:rFonts w:eastAsia="Calibri"/>
        </w:rPr>
        <w:t>Des valeurs et modalités de travail au service de l’intérêt général</w:t>
      </w:r>
      <w:bookmarkEnd w:id="24"/>
    </w:p>
    <w:p w14:paraId="52346304" w14:textId="6DB592F6" w:rsidR="00EE38CB" w:rsidRDefault="00796325" w:rsidP="00BE0FDF">
      <w:pPr>
        <w:rPr>
          <w:b/>
          <w:bCs/>
        </w:rPr>
      </w:pPr>
      <w:r>
        <w:rPr>
          <w:b/>
        </w:rPr>
        <w:t>L</w:t>
      </w:r>
      <w:r w:rsidR="00BE0FDF" w:rsidRPr="007E5A81">
        <w:rPr>
          <w:b/>
        </w:rPr>
        <w:t xml:space="preserve">’action conduite par </w:t>
      </w:r>
      <w:r w:rsidR="00FD43A4" w:rsidRPr="007E5A81">
        <w:rPr>
          <w:b/>
        </w:rPr>
        <w:t xml:space="preserve">l’ART </w:t>
      </w:r>
      <w:r>
        <w:rPr>
          <w:b/>
        </w:rPr>
        <w:t>a pour fil conducteur la re</w:t>
      </w:r>
      <w:r w:rsidR="00BE0FDF" w:rsidRPr="007E5A81">
        <w:rPr>
          <w:b/>
        </w:rPr>
        <w:t xml:space="preserve">cherche </w:t>
      </w:r>
      <w:r>
        <w:rPr>
          <w:b/>
        </w:rPr>
        <w:t>d’</w:t>
      </w:r>
      <w:r w:rsidR="00BE0FDF" w:rsidRPr="007E5A81">
        <w:rPr>
          <w:b/>
        </w:rPr>
        <w:t>une régulation performante</w:t>
      </w:r>
      <w:r>
        <w:rPr>
          <w:b/>
        </w:rPr>
        <w:t> </w:t>
      </w:r>
      <w:r>
        <w:t>: à la fois</w:t>
      </w:r>
      <w:r w:rsidR="00BE0FDF" w:rsidRPr="00766BA4">
        <w:t xml:space="preserve"> </w:t>
      </w:r>
      <w:r w:rsidR="00FD43A4">
        <w:t>efficace dans l’atteinte des objectifs confiés par la loi et efficiente dans l’exercice de ses missions</w:t>
      </w:r>
      <w:r w:rsidR="00BE0FDF" w:rsidRPr="00766BA4">
        <w:t xml:space="preserve"> au service des usagers et de la mobilité.</w:t>
      </w:r>
      <w:r w:rsidR="00EE38CB" w:rsidRPr="00EE38CB">
        <w:rPr>
          <w:b/>
          <w:bCs/>
        </w:rPr>
        <w:t xml:space="preserve"> </w:t>
      </w:r>
    </w:p>
    <w:p w14:paraId="2A09C542" w14:textId="6B698BE1" w:rsidR="00BE0FDF" w:rsidRPr="00766BA4" w:rsidRDefault="00EE38CB" w:rsidP="00BE0FDF">
      <w:r w:rsidRPr="006A25CD">
        <w:rPr>
          <w:b/>
          <w:bCs/>
        </w:rPr>
        <w:t xml:space="preserve">L’ART s’attache </w:t>
      </w:r>
      <w:r>
        <w:rPr>
          <w:b/>
          <w:bCs/>
        </w:rPr>
        <w:t xml:space="preserve">à </w:t>
      </w:r>
      <w:r w:rsidR="00B670B9">
        <w:rPr>
          <w:b/>
          <w:bCs/>
        </w:rPr>
        <w:t>faire</w:t>
      </w:r>
      <w:r w:rsidRPr="00DE21D9">
        <w:rPr>
          <w:b/>
          <w:bCs/>
        </w:rPr>
        <w:t xml:space="preserve"> </w:t>
      </w:r>
      <w:r w:rsidR="00B670B9">
        <w:rPr>
          <w:b/>
          <w:bCs/>
        </w:rPr>
        <w:t xml:space="preserve">preuve dans son action </w:t>
      </w:r>
      <w:r w:rsidR="000A3AD9">
        <w:rPr>
          <w:b/>
          <w:bCs/>
        </w:rPr>
        <w:t xml:space="preserve">au quotidien, </w:t>
      </w:r>
      <w:r w:rsidRPr="00DE21D9">
        <w:rPr>
          <w:b/>
          <w:bCs/>
        </w:rPr>
        <w:t>d</w:t>
      </w:r>
      <w:r w:rsidR="000A3AD9">
        <w:rPr>
          <w:b/>
          <w:bCs/>
        </w:rPr>
        <w:t>’esprit de</w:t>
      </w:r>
      <w:r w:rsidRPr="00DE21D9">
        <w:rPr>
          <w:b/>
          <w:bCs/>
        </w:rPr>
        <w:t xml:space="preserve"> dialogue, </w:t>
      </w:r>
      <w:r w:rsidR="00B670B9">
        <w:rPr>
          <w:b/>
          <w:bCs/>
        </w:rPr>
        <w:t>d</w:t>
      </w:r>
      <w:r w:rsidR="007E5A81">
        <w:rPr>
          <w:b/>
          <w:bCs/>
        </w:rPr>
        <w:t>’</w:t>
      </w:r>
      <w:r w:rsidRPr="00DE21D9">
        <w:rPr>
          <w:b/>
          <w:bCs/>
        </w:rPr>
        <w:t>expertise</w:t>
      </w:r>
      <w:r w:rsidR="00B670B9">
        <w:rPr>
          <w:b/>
          <w:bCs/>
        </w:rPr>
        <w:t xml:space="preserve">, de </w:t>
      </w:r>
      <w:r w:rsidRPr="00DE21D9">
        <w:rPr>
          <w:b/>
          <w:bCs/>
        </w:rPr>
        <w:t xml:space="preserve">transparence et </w:t>
      </w:r>
      <w:r w:rsidR="00FD7659">
        <w:rPr>
          <w:b/>
          <w:bCs/>
        </w:rPr>
        <w:t>d’indépendance</w:t>
      </w:r>
      <w:r w:rsidR="000C6952" w:rsidDel="00C8154E">
        <w:rPr>
          <w:b/>
        </w:rPr>
        <w:t>.</w:t>
      </w:r>
    </w:p>
    <w:tbl>
      <w:tblPr>
        <w:tblStyle w:val="TableGrid"/>
        <w:tblW w:w="9072" w:type="dxa"/>
        <w:tblInd w:w="0" w:type="dxa"/>
        <w:tblCellMar>
          <w:top w:w="113" w:type="dxa"/>
          <w:left w:w="113" w:type="dxa"/>
          <w:bottom w:w="113" w:type="dxa"/>
          <w:right w:w="113" w:type="dxa"/>
        </w:tblCellMar>
        <w:tblLook w:val="04A0" w:firstRow="1" w:lastRow="0" w:firstColumn="1" w:lastColumn="0" w:noHBand="0" w:noVBand="1"/>
      </w:tblPr>
      <w:tblGrid>
        <w:gridCol w:w="4536"/>
        <w:gridCol w:w="4536"/>
      </w:tblGrid>
      <w:tr w:rsidR="009710F8" w14:paraId="756509B4" w14:textId="77777777" w:rsidTr="00E146A6">
        <w:tc>
          <w:tcPr>
            <w:tcW w:w="4536" w:type="dxa"/>
          </w:tcPr>
          <w:p w14:paraId="761A1B41" w14:textId="10124A4B" w:rsidR="00EE38CB" w:rsidRPr="004D1303" w:rsidRDefault="00D5296B" w:rsidP="007E5A81">
            <w:pPr>
              <w:pStyle w:val="Icne"/>
            </w:pPr>
            <w:r w:rsidRPr="004D1303">
              <w:drawing>
                <wp:inline distT="0" distB="0" distL="0" distR="0" wp14:anchorId="43144F2B" wp14:editId="1A5009FA">
                  <wp:extent cx="432000" cy="432000"/>
                  <wp:effectExtent l="0" t="0" r="0" b="6350"/>
                  <wp:docPr id="21" name="Graphique 21" descr="Compas de dessin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que 21" descr="Compas de dessin avec un remplissage uni"/>
                          <pic:cNvPicPr/>
                        </pic:nvPicPr>
                        <pic:blipFill>
                          <a:blip r:embed="rId31">
                            <a:extLst>
                              <a:ext uri="{96DAC541-7B7A-43D3-8B79-37D633B846F1}">
                                <asvg:svgBlip xmlns:asvg="http://schemas.microsoft.com/office/drawing/2016/SVG/main" r:embed="rId32"/>
                              </a:ext>
                            </a:extLst>
                          </a:blip>
                          <a:stretch>
                            <a:fillRect/>
                          </a:stretch>
                        </pic:blipFill>
                        <pic:spPr>
                          <a:xfrm>
                            <a:off x="0" y="0"/>
                            <a:ext cx="432000" cy="432000"/>
                          </a:xfrm>
                          <a:prstGeom prst="rect">
                            <a:avLst/>
                          </a:prstGeom>
                        </pic:spPr>
                      </pic:pic>
                    </a:graphicData>
                  </a:graphic>
                </wp:inline>
              </w:drawing>
            </w:r>
          </w:p>
          <w:p w14:paraId="0C5A675F" w14:textId="5659BA7B" w:rsidR="009710F8" w:rsidRPr="00E146A6" w:rsidRDefault="00EE38CB" w:rsidP="00C8154E">
            <w:pPr>
              <w:rPr>
                <w:szCs w:val="21"/>
              </w:rPr>
            </w:pPr>
            <w:r w:rsidRPr="00E146A6">
              <w:rPr>
                <w:b/>
                <w:szCs w:val="21"/>
              </w:rPr>
              <w:t>L’</w:t>
            </w:r>
            <w:r w:rsidR="004D1303" w:rsidRPr="00E146A6">
              <w:rPr>
                <w:b/>
                <w:szCs w:val="21"/>
              </w:rPr>
              <w:t>« </w:t>
            </w:r>
            <w:r w:rsidRPr="00E146A6">
              <w:rPr>
                <w:b/>
                <w:szCs w:val="21"/>
              </w:rPr>
              <w:t>i</w:t>
            </w:r>
            <w:r w:rsidR="00CB2265">
              <w:rPr>
                <w:b/>
                <w:szCs w:val="21"/>
              </w:rPr>
              <w:t>ndépendance</w:t>
            </w:r>
            <w:r w:rsidR="004D1303" w:rsidRPr="00E146A6">
              <w:rPr>
                <w:b/>
                <w:szCs w:val="21"/>
              </w:rPr>
              <w:t> »</w:t>
            </w:r>
            <w:r w:rsidR="005911A7" w:rsidRPr="00E146A6">
              <w:rPr>
                <w:szCs w:val="21"/>
              </w:rPr>
              <w:t xml:space="preserve"> est la valeur cardinale de </w:t>
            </w:r>
            <w:r w:rsidR="007E5A81" w:rsidRPr="00E146A6">
              <w:rPr>
                <w:szCs w:val="21"/>
              </w:rPr>
              <w:t>l’ART</w:t>
            </w:r>
            <w:r w:rsidR="008953FF" w:rsidRPr="00E146A6">
              <w:rPr>
                <w:szCs w:val="21"/>
              </w:rPr>
              <w:t xml:space="preserve"> en tant </w:t>
            </w:r>
            <w:r w:rsidR="00E539E9" w:rsidRPr="00E146A6">
              <w:rPr>
                <w:szCs w:val="21"/>
              </w:rPr>
              <w:t xml:space="preserve">qu’autorité </w:t>
            </w:r>
            <w:r w:rsidR="008953FF" w:rsidRPr="00E146A6">
              <w:rPr>
                <w:szCs w:val="21"/>
              </w:rPr>
              <w:t>publique indépendante.</w:t>
            </w:r>
            <w:r w:rsidR="00987DF8" w:rsidRPr="00E146A6">
              <w:rPr>
                <w:szCs w:val="21"/>
              </w:rPr>
              <w:t xml:space="preserve"> Ainsi,</w:t>
            </w:r>
            <w:r w:rsidR="00564E80">
              <w:rPr>
                <w:szCs w:val="21"/>
              </w:rPr>
              <w:t> </w:t>
            </w:r>
            <w:r w:rsidR="00987DF8" w:rsidRPr="00E146A6">
              <w:rPr>
                <w:szCs w:val="21"/>
              </w:rPr>
              <w:t>l’ART :</w:t>
            </w:r>
            <w:r w:rsidR="00822A68" w:rsidRPr="00E146A6">
              <w:rPr>
                <w:szCs w:val="21"/>
              </w:rPr>
              <w:t xml:space="preserve"> </w:t>
            </w:r>
          </w:p>
          <w:p w14:paraId="7D8AC2A3" w14:textId="2456360D" w:rsidR="00BF6681" w:rsidRPr="00E146A6" w:rsidRDefault="00BF6681" w:rsidP="00D02DE6">
            <w:pPr>
              <w:pStyle w:val="Paragraphedeliste"/>
              <w:numPr>
                <w:ilvl w:val="0"/>
                <w:numId w:val="17"/>
              </w:numPr>
              <w:ind w:left="432" w:hanging="204"/>
              <w:rPr>
                <w:szCs w:val="21"/>
              </w:rPr>
            </w:pPr>
            <w:r w:rsidRPr="00E146A6">
              <w:rPr>
                <w:szCs w:val="21"/>
              </w:rPr>
              <w:t xml:space="preserve">assure ses missions indépendamment des intérêts </w:t>
            </w:r>
            <w:r w:rsidR="007E5A81" w:rsidRPr="00E146A6">
              <w:rPr>
                <w:szCs w:val="21"/>
              </w:rPr>
              <w:t>de tiers, notamment des acteurs économiques</w:t>
            </w:r>
            <w:r w:rsidR="00E539E9" w:rsidRPr="00E146A6">
              <w:rPr>
                <w:szCs w:val="21"/>
              </w:rPr>
              <w:t>,</w:t>
            </w:r>
            <w:r w:rsidR="007E5A81" w:rsidRPr="00E146A6">
              <w:rPr>
                <w:szCs w:val="21"/>
              </w:rPr>
              <w:t xml:space="preserve"> qu’ils soient publics</w:t>
            </w:r>
            <w:r w:rsidRPr="00E146A6">
              <w:rPr>
                <w:szCs w:val="21"/>
              </w:rPr>
              <w:t xml:space="preserve"> ou privés,</w:t>
            </w:r>
          </w:p>
          <w:p w14:paraId="4460F9F3" w14:textId="54A4368D" w:rsidR="00987DF8" w:rsidRPr="00E146A6" w:rsidRDefault="00B670B9" w:rsidP="002333F0">
            <w:pPr>
              <w:pStyle w:val="Paragraphedeliste"/>
              <w:numPr>
                <w:ilvl w:val="0"/>
                <w:numId w:val="17"/>
              </w:numPr>
              <w:ind w:left="432" w:hanging="204"/>
              <w:rPr>
                <w:szCs w:val="21"/>
              </w:rPr>
            </w:pPr>
            <w:r w:rsidRPr="00E146A6">
              <w:rPr>
                <w:szCs w:val="21"/>
              </w:rPr>
              <w:t>est soumise</w:t>
            </w:r>
            <w:r w:rsidR="00987DF8" w:rsidRPr="00E146A6">
              <w:rPr>
                <w:szCs w:val="21"/>
              </w:rPr>
              <w:t xml:space="preserve"> </w:t>
            </w:r>
            <w:r w:rsidRPr="00E146A6">
              <w:rPr>
                <w:szCs w:val="21"/>
              </w:rPr>
              <w:t>à</w:t>
            </w:r>
            <w:r w:rsidR="00987DF8" w:rsidRPr="00E146A6">
              <w:rPr>
                <w:szCs w:val="21"/>
              </w:rPr>
              <w:t xml:space="preserve"> des règles déontologiques strictes,</w:t>
            </w:r>
          </w:p>
          <w:p w14:paraId="4AC92FAC" w14:textId="77777777" w:rsidR="00987DF8" w:rsidRPr="00E146A6" w:rsidRDefault="00987DF8" w:rsidP="00D02DE6">
            <w:pPr>
              <w:pStyle w:val="Paragraphedeliste"/>
              <w:numPr>
                <w:ilvl w:val="0"/>
                <w:numId w:val="17"/>
              </w:numPr>
              <w:ind w:left="432" w:hanging="204"/>
              <w:rPr>
                <w:szCs w:val="21"/>
              </w:rPr>
            </w:pPr>
            <w:r w:rsidRPr="00E146A6">
              <w:rPr>
                <w:szCs w:val="21"/>
              </w:rPr>
              <w:t>dispose de m</w:t>
            </w:r>
            <w:r w:rsidR="00BF6681" w:rsidRPr="00E146A6">
              <w:rPr>
                <w:szCs w:val="21"/>
              </w:rPr>
              <w:t xml:space="preserve">oyens propres, </w:t>
            </w:r>
            <w:r w:rsidRPr="00E146A6">
              <w:rPr>
                <w:szCs w:val="21"/>
              </w:rPr>
              <w:t xml:space="preserve">qu’ils soient </w:t>
            </w:r>
            <w:r w:rsidR="00BF6681" w:rsidRPr="00E146A6">
              <w:rPr>
                <w:szCs w:val="21"/>
              </w:rPr>
              <w:t>financiers</w:t>
            </w:r>
            <w:r w:rsidRPr="00E146A6">
              <w:rPr>
                <w:szCs w:val="21"/>
              </w:rPr>
              <w:t>, humains ou techniques,</w:t>
            </w:r>
          </w:p>
          <w:p w14:paraId="2F40B990" w14:textId="31F6F58E" w:rsidR="00BF6681" w:rsidRPr="00E146A6" w:rsidRDefault="00987DF8" w:rsidP="002333F0">
            <w:pPr>
              <w:pStyle w:val="Paragraphedeliste"/>
              <w:numPr>
                <w:ilvl w:val="0"/>
                <w:numId w:val="17"/>
              </w:numPr>
              <w:ind w:left="432" w:hanging="204"/>
              <w:rPr>
                <w:szCs w:val="21"/>
              </w:rPr>
            </w:pPr>
            <w:r w:rsidRPr="00E146A6">
              <w:rPr>
                <w:szCs w:val="21"/>
              </w:rPr>
              <w:t xml:space="preserve">est dirigée par un collège de cinq membres dont les mandats ne sont </w:t>
            </w:r>
            <w:r w:rsidR="00E539E9" w:rsidRPr="00E146A6">
              <w:rPr>
                <w:szCs w:val="21"/>
              </w:rPr>
              <w:t>ni révocables, ni</w:t>
            </w:r>
            <w:r w:rsidRPr="00E146A6">
              <w:rPr>
                <w:szCs w:val="21"/>
              </w:rPr>
              <w:t xml:space="preserve"> renouvelables.</w:t>
            </w:r>
          </w:p>
          <w:p w14:paraId="2AD3417A" w14:textId="03531BF6" w:rsidR="00BF6681" w:rsidRPr="00E146A6" w:rsidRDefault="00BF6681" w:rsidP="00C8154E">
            <w:pPr>
              <w:rPr>
                <w:szCs w:val="21"/>
              </w:rPr>
            </w:pPr>
          </w:p>
        </w:tc>
        <w:tc>
          <w:tcPr>
            <w:tcW w:w="4536" w:type="dxa"/>
          </w:tcPr>
          <w:p w14:paraId="353DF671" w14:textId="77777777" w:rsidR="00D5296B" w:rsidRPr="00D5296B" w:rsidRDefault="00D5296B" w:rsidP="007E5A81">
            <w:pPr>
              <w:pStyle w:val="Icne"/>
            </w:pPr>
            <w:r w:rsidRPr="00D5296B">
              <w:drawing>
                <wp:inline distT="0" distB="0" distL="0" distR="0" wp14:anchorId="1AD672C2" wp14:editId="0307C2B6">
                  <wp:extent cx="432000" cy="432000"/>
                  <wp:effectExtent l="0" t="0" r="6350" b="6350"/>
                  <wp:docPr id="22" name="Graphique 22" descr="Brainstorming de group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que 22" descr="Brainstorming de groupe avec un remplissage uni"/>
                          <pic:cNvPicPr/>
                        </pic:nvPicPr>
                        <pic:blipFill>
                          <a:blip r:embed="rId33">
                            <a:extLst>
                              <a:ext uri="{96DAC541-7B7A-43D3-8B79-37D633B846F1}">
                                <asvg:svgBlip xmlns:asvg="http://schemas.microsoft.com/office/drawing/2016/SVG/main" r:embed="rId34"/>
                              </a:ext>
                            </a:extLst>
                          </a:blip>
                          <a:stretch>
                            <a:fillRect/>
                          </a:stretch>
                        </pic:blipFill>
                        <pic:spPr>
                          <a:xfrm>
                            <a:off x="0" y="0"/>
                            <a:ext cx="432000" cy="432000"/>
                          </a:xfrm>
                          <a:prstGeom prst="rect">
                            <a:avLst/>
                          </a:prstGeom>
                        </pic:spPr>
                      </pic:pic>
                    </a:graphicData>
                  </a:graphic>
                </wp:inline>
              </w:drawing>
            </w:r>
          </w:p>
          <w:p w14:paraId="7A7CDD0B" w14:textId="2A2616B9" w:rsidR="00D5296B" w:rsidRPr="00E146A6" w:rsidRDefault="009710F8" w:rsidP="00BE0FDF">
            <w:pPr>
              <w:rPr>
                <w:szCs w:val="21"/>
              </w:rPr>
            </w:pPr>
            <w:r w:rsidRPr="00E146A6">
              <w:rPr>
                <w:b/>
                <w:szCs w:val="21"/>
              </w:rPr>
              <w:t>L’«</w:t>
            </w:r>
            <w:r w:rsidR="004D1303" w:rsidRPr="00E146A6">
              <w:rPr>
                <w:b/>
                <w:szCs w:val="21"/>
              </w:rPr>
              <w:t> </w:t>
            </w:r>
            <w:r w:rsidRPr="00E146A6">
              <w:rPr>
                <w:b/>
                <w:szCs w:val="21"/>
              </w:rPr>
              <w:t>expertise</w:t>
            </w:r>
            <w:r w:rsidR="001800D5" w:rsidRPr="00E146A6">
              <w:rPr>
                <w:b/>
                <w:szCs w:val="21"/>
              </w:rPr>
              <w:t> </w:t>
            </w:r>
            <w:r w:rsidRPr="00E146A6">
              <w:rPr>
                <w:b/>
                <w:szCs w:val="21"/>
              </w:rPr>
              <w:t>»</w:t>
            </w:r>
            <w:r w:rsidRPr="00E146A6">
              <w:rPr>
                <w:szCs w:val="21"/>
              </w:rPr>
              <w:t xml:space="preserve"> de l’ART s’appu</w:t>
            </w:r>
            <w:r w:rsidR="00A4300E">
              <w:rPr>
                <w:szCs w:val="21"/>
              </w:rPr>
              <w:t>ie</w:t>
            </w:r>
            <w:r w:rsidR="00D5296B" w:rsidRPr="00E146A6">
              <w:rPr>
                <w:szCs w:val="21"/>
              </w:rPr>
              <w:t xml:space="preserve"> </w:t>
            </w:r>
            <w:r w:rsidRPr="00E146A6">
              <w:rPr>
                <w:szCs w:val="21"/>
              </w:rPr>
              <w:t>sur</w:t>
            </w:r>
            <w:r w:rsidR="00D5296B" w:rsidRPr="00E146A6">
              <w:rPr>
                <w:szCs w:val="21"/>
              </w:rPr>
              <w:t> </w:t>
            </w:r>
            <w:r w:rsidR="00EE38CB" w:rsidRPr="00E146A6">
              <w:rPr>
                <w:szCs w:val="21"/>
              </w:rPr>
              <w:t xml:space="preserve"> </w:t>
            </w:r>
            <w:r w:rsidR="00D5296B" w:rsidRPr="00E146A6">
              <w:rPr>
                <w:szCs w:val="21"/>
              </w:rPr>
              <w:t>:</w:t>
            </w:r>
          </w:p>
          <w:p w14:paraId="020BA717" w14:textId="670D1DF6" w:rsidR="00E539E9" w:rsidRPr="00E146A6" w:rsidRDefault="00E539E9" w:rsidP="007E5A81">
            <w:pPr>
              <w:pStyle w:val="Paragraphedeliste"/>
              <w:numPr>
                <w:ilvl w:val="0"/>
                <w:numId w:val="17"/>
              </w:numPr>
              <w:ind w:left="432" w:hanging="204"/>
              <w:rPr>
                <w:szCs w:val="21"/>
              </w:rPr>
            </w:pPr>
            <w:r w:rsidRPr="00E146A6">
              <w:rPr>
                <w:szCs w:val="21"/>
              </w:rPr>
              <w:t>un collège composé de membres nommés en raison de leurs compétences</w:t>
            </w:r>
            <w:r w:rsidR="00543A63" w:rsidRPr="00E146A6">
              <w:rPr>
                <w:szCs w:val="21"/>
              </w:rPr>
              <w:t xml:space="preserve"> ou expertises</w:t>
            </w:r>
            <w:r w:rsidRPr="00E146A6">
              <w:rPr>
                <w:szCs w:val="21"/>
              </w:rPr>
              <w:t xml:space="preserve"> pertinentes </w:t>
            </w:r>
            <w:r w:rsidR="00543A63" w:rsidRPr="00E146A6">
              <w:rPr>
                <w:szCs w:val="21"/>
              </w:rPr>
              <w:t>pour la régulation économique des tran</w:t>
            </w:r>
            <w:r w:rsidR="00E146A6">
              <w:rPr>
                <w:szCs w:val="21"/>
              </w:rPr>
              <w:t>s</w:t>
            </w:r>
            <w:r w:rsidR="00543A63" w:rsidRPr="00E146A6">
              <w:rPr>
                <w:szCs w:val="21"/>
              </w:rPr>
              <w:t>ports </w:t>
            </w:r>
            <w:r w:rsidRPr="00E146A6">
              <w:rPr>
                <w:szCs w:val="21"/>
              </w:rPr>
              <w:t>;</w:t>
            </w:r>
          </w:p>
          <w:p w14:paraId="5878BF55" w14:textId="00858065" w:rsidR="001800D5" w:rsidRPr="00E146A6" w:rsidRDefault="00EE38CB" w:rsidP="007E5A81">
            <w:pPr>
              <w:pStyle w:val="Paragraphedeliste"/>
              <w:numPr>
                <w:ilvl w:val="0"/>
                <w:numId w:val="17"/>
              </w:numPr>
              <w:ind w:left="432" w:hanging="204"/>
              <w:rPr>
                <w:szCs w:val="21"/>
              </w:rPr>
            </w:pPr>
            <w:r w:rsidRPr="00E146A6">
              <w:rPr>
                <w:szCs w:val="21"/>
              </w:rPr>
              <w:t>des services dont l’organisation a évolué ces trois dernières années pour mobiliser conjointement</w:t>
            </w:r>
            <w:r w:rsidR="00E539E9" w:rsidRPr="00E146A6">
              <w:rPr>
                <w:szCs w:val="21"/>
              </w:rPr>
              <w:t>,</w:t>
            </w:r>
            <w:r w:rsidRPr="00E146A6">
              <w:rPr>
                <w:szCs w:val="21"/>
              </w:rPr>
              <w:t xml:space="preserve"> lors des instructions</w:t>
            </w:r>
            <w:r w:rsidR="00E53A72">
              <w:rPr>
                <w:szCs w:val="21"/>
              </w:rPr>
              <w:t xml:space="preserve"> et chaque fois que nécessaire</w:t>
            </w:r>
            <w:r w:rsidR="00E539E9" w:rsidRPr="00E146A6">
              <w:rPr>
                <w:szCs w:val="21"/>
              </w:rPr>
              <w:t>,</w:t>
            </w:r>
            <w:r w:rsidRPr="00E146A6">
              <w:rPr>
                <w:szCs w:val="21"/>
              </w:rPr>
              <w:t xml:space="preserve"> un</w:t>
            </w:r>
            <w:r w:rsidR="009710F8" w:rsidRPr="00E146A6" w:rsidDel="00D5296B">
              <w:rPr>
                <w:szCs w:val="21"/>
              </w:rPr>
              <w:t xml:space="preserve"> </w:t>
            </w:r>
            <w:r w:rsidR="009710F8" w:rsidRPr="00E146A6">
              <w:rPr>
                <w:szCs w:val="21"/>
              </w:rPr>
              <w:t>haut niveau de compétences techniques, économiques, juridiques, financières et en analyse de données</w:t>
            </w:r>
            <w:r w:rsidR="006F29B0" w:rsidRPr="00E146A6">
              <w:rPr>
                <w:szCs w:val="21"/>
              </w:rPr>
              <w:t>,</w:t>
            </w:r>
            <w:r w:rsidR="009710F8" w:rsidRPr="00E146A6">
              <w:rPr>
                <w:szCs w:val="21"/>
              </w:rPr>
              <w:t xml:space="preserve"> </w:t>
            </w:r>
          </w:p>
          <w:p w14:paraId="410E7158" w14:textId="779299CD" w:rsidR="001800D5" w:rsidRPr="00E146A6" w:rsidRDefault="00543A63" w:rsidP="007E5A81">
            <w:pPr>
              <w:pStyle w:val="Paragraphedeliste"/>
              <w:numPr>
                <w:ilvl w:val="0"/>
                <w:numId w:val="17"/>
              </w:numPr>
              <w:ind w:left="432" w:hanging="204"/>
              <w:rPr>
                <w:szCs w:val="21"/>
              </w:rPr>
            </w:pPr>
            <w:r w:rsidRPr="00E146A6">
              <w:rPr>
                <w:szCs w:val="21"/>
              </w:rPr>
              <w:t>d</w:t>
            </w:r>
            <w:r w:rsidR="009710F8" w:rsidRPr="00E146A6">
              <w:rPr>
                <w:szCs w:val="21"/>
              </w:rPr>
              <w:t xml:space="preserve">es travaux d’observation des marchés et de suivi économique et financier </w:t>
            </w:r>
            <w:r w:rsidR="00D5296B" w:rsidRPr="00E146A6">
              <w:rPr>
                <w:szCs w:val="21"/>
              </w:rPr>
              <w:t>pour</w:t>
            </w:r>
            <w:r w:rsidR="009710F8" w:rsidRPr="00E146A6">
              <w:rPr>
                <w:szCs w:val="21"/>
              </w:rPr>
              <w:t xml:space="preserve"> développer une connaissance fine des secteurs régulés</w:t>
            </w:r>
            <w:r w:rsidR="006F29B0" w:rsidRPr="00E146A6">
              <w:rPr>
                <w:szCs w:val="21"/>
              </w:rPr>
              <w:t>,</w:t>
            </w:r>
            <w:r w:rsidR="009710F8" w:rsidRPr="00E146A6">
              <w:rPr>
                <w:szCs w:val="21"/>
              </w:rPr>
              <w:t xml:space="preserve"> </w:t>
            </w:r>
          </w:p>
          <w:p w14:paraId="2A7D173D" w14:textId="16DD0AD2" w:rsidR="009710F8" w:rsidRDefault="009710F8" w:rsidP="007E5A81">
            <w:pPr>
              <w:pStyle w:val="Paragraphedeliste"/>
              <w:numPr>
                <w:ilvl w:val="0"/>
                <w:numId w:val="17"/>
              </w:numPr>
              <w:ind w:left="432" w:hanging="204"/>
            </w:pPr>
            <w:r w:rsidRPr="00E146A6">
              <w:rPr>
                <w:szCs w:val="21"/>
              </w:rPr>
              <w:t>une large palette d’outils régulatoires tels que le développement de modèles technico-économiques et d’études de parangonnage pour mieux connaître les coûts pertinents des services et ainsi réduire l’asymétrie d’information avec les opérateurs régulés</w:t>
            </w:r>
            <w:r w:rsidR="00E539E9" w:rsidRPr="00E146A6">
              <w:rPr>
                <w:szCs w:val="21"/>
              </w:rPr>
              <w:t>.</w:t>
            </w:r>
          </w:p>
        </w:tc>
      </w:tr>
      <w:tr w:rsidR="009710F8" w14:paraId="39785E60" w14:textId="77777777" w:rsidTr="00E146A6">
        <w:tc>
          <w:tcPr>
            <w:tcW w:w="4536" w:type="dxa"/>
          </w:tcPr>
          <w:p w14:paraId="4C05BE8A" w14:textId="4B27824B" w:rsidR="001800D5" w:rsidRPr="00E146A6" w:rsidRDefault="00D5296B" w:rsidP="00E146A6">
            <w:pPr>
              <w:pStyle w:val="Icne"/>
              <w:keepNext/>
              <w:keepLines/>
              <w:rPr>
                <w:b w:val="0"/>
                <w:szCs w:val="21"/>
              </w:rPr>
            </w:pPr>
            <w:r w:rsidRPr="00E146A6">
              <w:rPr>
                <w:szCs w:val="21"/>
              </w:rPr>
              <w:lastRenderedPageBreak/>
              <w:drawing>
                <wp:inline distT="0" distB="0" distL="0" distR="0" wp14:anchorId="45BE4433" wp14:editId="5BAFF272">
                  <wp:extent cx="432000" cy="432000"/>
                  <wp:effectExtent l="0" t="0" r="6350" b="0"/>
                  <wp:docPr id="25" name="Graphique 25" descr="Réunion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que 25" descr="Réunion avec un remplissage uni"/>
                          <pic:cNvPicPr/>
                        </pic:nvPicPr>
                        <pic:blipFill>
                          <a:blip r:embed="rId35">
                            <a:extLst>
                              <a:ext uri="{96DAC541-7B7A-43D3-8B79-37D633B846F1}">
                                <asvg:svgBlip xmlns:asvg="http://schemas.microsoft.com/office/drawing/2016/SVG/main" r:embed="rId36"/>
                              </a:ext>
                            </a:extLst>
                          </a:blip>
                          <a:stretch>
                            <a:fillRect/>
                          </a:stretch>
                        </pic:blipFill>
                        <pic:spPr>
                          <a:xfrm>
                            <a:off x="0" y="0"/>
                            <a:ext cx="432000" cy="432000"/>
                          </a:xfrm>
                          <a:prstGeom prst="rect">
                            <a:avLst/>
                          </a:prstGeom>
                        </pic:spPr>
                      </pic:pic>
                    </a:graphicData>
                  </a:graphic>
                </wp:inline>
              </w:drawing>
            </w:r>
          </w:p>
          <w:p w14:paraId="6D8CEAAD" w14:textId="48A6000E" w:rsidR="009710F8" w:rsidRPr="004D2EA9" w:rsidRDefault="009710F8" w:rsidP="00E146A6">
            <w:pPr>
              <w:pStyle w:val="Tableaulongcontenu"/>
              <w:keepNext/>
              <w:keepLines/>
            </w:pPr>
            <w:r w:rsidRPr="007E5A81">
              <w:t>Le «</w:t>
            </w:r>
            <w:r w:rsidR="001800D5" w:rsidRPr="007E5A81">
              <w:t> </w:t>
            </w:r>
            <w:r w:rsidRPr="007E5A81">
              <w:rPr>
                <w:b/>
              </w:rPr>
              <w:t>dialogue</w:t>
            </w:r>
            <w:r w:rsidR="001800D5" w:rsidRPr="007E5A81">
              <w:rPr>
                <w:b/>
              </w:rPr>
              <w:t> </w:t>
            </w:r>
            <w:r w:rsidRPr="007E5A81">
              <w:t xml:space="preserve">» – ouvert et constructif – de l’ART avec l’ensemble des acteurs du secteur des </w:t>
            </w:r>
            <w:r w:rsidRPr="00B670B9">
              <w:rPr>
                <w:szCs w:val="21"/>
              </w:rPr>
              <w:t xml:space="preserve">transports se traduit </w:t>
            </w:r>
            <w:r w:rsidRPr="00543A63">
              <w:rPr>
                <w:szCs w:val="21"/>
              </w:rPr>
              <w:t>notamme</w:t>
            </w:r>
            <w:r w:rsidR="00E146A6">
              <w:rPr>
                <w:szCs w:val="21"/>
              </w:rPr>
              <w:t>n</w:t>
            </w:r>
            <w:r w:rsidRPr="00543A63">
              <w:rPr>
                <w:szCs w:val="21"/>
              </w:rPr>
              <w:t>t</w:t>
            </w:r>
            <w:r w:rsidRPr="00B670B9">
              <w:rPr>
                <w:szCs w:val="21"/>
              </w:rPr>
              <w:t xml:space="preserve"> par :</w:t>
            </w:r>
          </w:p>
          <w:p w14:paraId="5213E442" w14:textId="77777777" w:rsidR="009710F8" w:rsidRPr="00B670B9" w:rsidRDefault="009710F8" w:rsidP="00E146A6">
            <w:pPr>
              <w:pStyle w:val="Paragraphedeliste"/>
              <w:keepNext/>
              <w:keepLines/>
              <w:numPr>
                <w:ilvl w:val="0"/>
                <w:numId w:val="18"/>
              </w:numPr>
              <w:spacing w:before="0"/>
              <w:ind w:left="284" w:hanging="159"/>
              <w:rPr>
                <w:szCs w:val="21"/>
              </w:rPr>
            </w:pPr>
            <w:r w:rsidRPr="00B670B9">
              <w:rPr>
                <w:szCs w:val="21"/>
              </w:rPr>
              <w:t>le lancement régulier de consultations publiques,</w:t>
            </w:r>
          </w:p>
          <w:p w14:paraId="6028AA17" w14:textId="77777777" w:rsidR="009710F8" w:rsidRPr="00B670B9" w:rsidRDefault="009710F8" w:rsidP="00E146A6">
            <w:pPr>
              <w:pStyle w:val="Paragraphedeliste"/>
              <w:keepNext/>
              <w:keepLines/>
              <w:numPr>
                <w:ilvl w:val="0"/>
                <w:numId w:val="18"/>
              </w:numPr>
              <w:ind w:left="284" w:hanging="159"/>
              <w:rPr>
                <w:szCs w:val="21"/>
              </w:rPr>
            </w:pPr>
            <w:r w:rsidRPr="00B670B9">
              <w:rPr>
                <w:szCs w:val="21"/>
              </w:rPr>
              <w:t>l’organisation d’auditions devant le collège de l’ART et,</w:t>
            </w:r>
          </w:p>
          <w:p w14:paraId="0AFA6E1F" w14:textId="77777777" w:rsidR="009710F8" w:rsidRPr="00B670B9" w:rsidRDefault="009710F8" w:rsidP="00E146A6">
            <w:pPr>
              <w:pStyle w:val="Paragraphedeliste"/>
              <w:keepNext/>
              <w:keepLines/>
              <w:numPr>
                <w:ilvl w:val="0"/>
                <w:numId w:val="18"/>
              </w:numPr>
              <w:spacing w:after="0"/>
              <w:ind w:left="284" w:hanging="159"/>
              <w:rPr>
                <w:szCs w:val="21"/>
              </w:rPr>
            </w:pPr>
            <w:r w:rsidRPr="00B670B9">
              <w:rPr>
                <w:szCs w:val="21"/>
              </w:rPr>
              <w:t>plus largement, dans le cadre d’échanges réguliers avec les services et les membres du collège.</w:t>
            </w:r>
          </w:p>
          <w:p w14:paraId="6BBC02CF" w14:textId="7A14376F" w:rsidR="001800D5" w:rsidRPr="004D2EA9" w:rsidRDefault="001800D5" w:rsidP="00E146A6">
            <w:pPr>
              <w:pStyle w:val="Tableaulongcontenu"/>
              <w:keepNext/>
              <w:keepLines/>
            </w:pPr>
            <w:r w:rsidRPr="00B670B9">
              <w:rPr>
                <w:szCs w:val="21"/>
              </w:rPr>
              <w:t>Ces échanges permettent d’ouvrir de nouveaux chapitres régulatoires et de recueillir des éclairages essentiels pour comprendre la réalité du terrain</w:t>
            </w:r>
            <w:r w:rsidRPr="007E5A81">
              <w:t>, et ainsi enrichir la qualité des avis et décisions. L’ART s’attache également à développer ses relations avec les représentants des usagers</w:t>
            </w:r>
            <w:r w:rsidR="006F29B0">
              <w:t>.</w:t>
            </w:r>
          </w:p>
        </w:tc>
        <w:tc>
          <w:tcPr>
            <w:tcW w:w="4536" w:type="dxa"/>
          </w:tcPr>
          <w:p w14:paraId="00DFA235" w14:textId="2298223A" w:rsidR="00B05750" w:rsidRPr="00E146A6" w:rsidRDefault="00D5296B" w:rsidP="00E146A6">
            <w:pPr>
              <w:pStyle w:val="Icne"/>
              <w:keepNext/>
              <w:keepLines/>
              <w:rPr>
                <w:b w:val="0"/>
                <w:szCs w:val="21"/>
              </w:rPr>
            </w:pPr>
            <w:r w:rsidRPr="00E146A6">
              <w:rPr>
                <w:szCs w:val="21"/>
              </w:rPr>
              <w:drawing>
                <wp:inline distT="0" distB="0" distL="0" distR="0" wp14:anchorId="5FD7AC92" wp14:editId="279150EC">
                  <wp:extent cx="432000" cy="432000"/>
                  <wp:effectExtent l="0" t="0" r="6350" b="6350"/>
                  <wp:docPr id="18" name="Graphique 18" descr="Cub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que 18" descr="Cube avec un remplissage uni"/>
                          <pic:cNvPicPr/>
                        </pic:nvPicPr>
                        <pic:blipFill>
                          <a:blip r:embed="rId37">
                            <a:extLst>
                              <a:ext uri="{96DAC541-7B7A-43D3-8B79-37D633B846F1}">
                                <asvg:svgBlip xmlns:asvg="http://schemas.microsoft.com/office/drawing/2016/SVG/main" r:embed="rId38"/>
                              </a:ext>
                            </a:extLst>
                          </a:blip>
                          <a:stretch>
                            <a:fillRect/>
                          </a:stretch>
                        </pic:blipFill>
                        <pic:spPr>
                          <a:xfrm>
                            <a:off x="0" y="0"/>
                            <a:ext cx="432000" cy="432000"/>
                          </a:xfrm>
                          <a:prstGeom prst="rect">
                            <a:avLst/>
                          </a:prstGeom>
                        </pic:spPr>
                      </pic:pic>
                    </a:graphicData>
                  </a:graphic>
                </wp:inline>
              </w:drawing>
            </w:r>
          </w:p>
          <w:p w14:paraId="21F1650D" w14:textId="62CAE41D" w:rsidR="009710F8" w:rsidRPr="004D2EA9" w:rsidRDefault="009710F8" w:rsidP="00E146A6">
            <w:pPr>
              <w:pStyle w:val="Tableaulongcontenu"/>
              <w:keepNext/>
              <w:keepLines/>
            </w:pPr>
            <w:r w:rsidRPr="007E5A81">
              <w:t>La «</w:t>
            </w:r>
            <w:r w:rsidR="001800D5" w:rsidRPr="007E5A81">
              <w:t> </w:t>
            </w:r>
            <w:r w:rsidRPr="007E5A81">
              <w:rPr>
                <w:b/>
              </w:rPr>
              <w:t>transparence</w:t>
            </w:r>
            <w:r w:rsidR="001800D5" w:rsidRPr="007E5A81">
              <w:t> </w:t>
            </w:r>
            <w:r w:rsidRPr="007E5A81">
              <w:t>»</w:t>
            </w:r>
            <w:r w:rsidR="001800D5" w:rsidRPr="007E5A81">
              <w:t xml:space="preserve"> </w:t>
            </w:r>
            <w:r w:rsidRPr="007E5A81">
              <w:t xml:space="preserve">conduit </w:t>
            </w:r>
            <w:r w:rsidRPr="00543A63">
              <w:rPr>
                <w:szCs w:val="21"/>
              </w:rPr>
              <w:t>l</w:t>
            </w:r>
            <w:r w:rsidR="00E146A6">
              <w:rPr>
                <w:szCs w:val="21"/>
              </w:rPr>
              <w:t>’</w:t>
            </w:r>
            <w:r w:rsidRPr="00543A63">
              <w:rPr>
                <w:szCs w:val="21"/>
              </w:rPr>
              <w:t>ART</w:t>
            </w:r>
            <w:r w:rsidRPr="007E5A81">
              <w:t xml:space="preserve"> à :</w:t>
            </w:r>
          </w:p>
          <w:p w14:paraId="44BE6FA0" w14:textId="29F72DFE" w:rsidR="009710F8" w:rsidRPr="00E146A6" w:rsidRDefault="005C0873" w:rsidP="00E146A6">
            <w:pPr>
              <w:pStyle w:val="Paragraphedeliste"/>
              <w:keepNext/>
              <w:keepLines/>
              <w:numPr>
                <w:ilvl w:val="0"/>
                <w:numId w:val="17"/>
              </w:numPr>
              <w:ind w:left="432" w:hanging="204"/>
              <w:rPr>
                <w:szCs w:val="21"/>
              </w:rPr>
            </w:pPr>
            <w:r w:rsidRPr="00E146A6">
              <w:rPr>
                <w:szCs w:val="21"/>
              </w:rPr>
              <w:t>r</w:t>
            </w:r>
            <w:r w:rsidR="009710F8" w:rsidRPr="00E146A6">
              <w:rPr>
                <w:szCs w:val="21"/>
              </w:rPr>
              <w:t>endre compte régulièrement de son action de régulation, notamment dans le cadre de son rapport annuel</w:t>
            </w:r>
            <w:r w:rsidR="00543A63">
              <w:rPr>
                <w:szCs w:val="21"/>
              </w:rPr>
              <w:t>,</w:t>
            </w:r>
            <w:r w:rsidR="009710F8" w:rsidRPr="00E146A6">
              <w:rPr>
                <w:szCs w:val="21"/>
              </w:rPr>
              <w:t xml:space="preserve"> d’échanges avec les parties prenantes</w:t>
            </w:r>
            <w:r w:rsidR="00543A63">
              <w:rPr>
                <w:szCs w:val="21"/>
              </w:rPr>
              <w:t xml:space="preserve"> ou encore d’auditions devant le Parlement</w:t>
            </w:r>
            <w:r w:rsidR="006F29B0" w:rsidRPr="00E146A6">
              <w:rPr>
                <w:szCs w:val="21"/>
              </w:rPr>
              <w:t>,</w:t>
            </w:r>
          </w:p>
          <w:p w14:paraId="515F8346" w14:textId="16D4A56C" w:rsidR="009710F8" w:rsidRPr="00E146A6" w:rsidRDefault="005C0873" w:rsidP="00E146A6">
            <w:pPr>
              <w:pStyle w:val="Paragraphedeliste"/>
              <w:keepNext/>
              <w:keepLines/>
              <w:numPr>
                <w:ilvl w:val="0"/>
                <w:numId w:val="17"/>
              </w:numPr>
              <w:ind w:left="432" w:hanging="204"/>
              <w:rPr>
                <w:szCs w:val="21"/>
              </w:rPr>
            </w:pPr>
            <w:r w:rsidRPr="00E146A6">
              <w:rPr>
                <w:szCs w:val="21"/>
              </w:rPr>
              <w:t>c</w:t>
            </w:r>
            <w:r w:rsidR="009710F8" w:rsidRPr="00E146A6">
              <w:rPr>
                <w:szCs w:val="21"/>
              </w:rPr>
              <w:t>ommuniquer de façon claire, précise et intelligible les motivations de ses avis et décisions, les éléments de diagnostic et</w:t>
            </w:r>
            <w:r w:rsidR="00400E17">
              <w:rPr>
                <w:szCs w:val="21"/>
              </w:rPr>
              <w:t xml:space="preserve"> les</w:t>
            </w:r>
            <w:r w:rsidR="009710F8" w:rsidRPr="00E146A6">
              <w:rPr>
                <w:szCs w:val="21"/>
              </w:rPr>
              <w:t xml:space="preserve"> recommandations ressortant de ses rapports, ainsi que les bénéfices pour les usagers qui en résultent</w:t>
            </w:r>
            <w:r w:rsidR="006F29B0" w:rsidRPr="00E146A6">
              <w:rPr>
                <w:szCs w:val="21"/>
              </w:rPr>
              <w:t>,</w:t>
            </w:r>
          </w:p>
          <w:p w14:paraId="0D8146A1" w14:textId="6FB176C4" w:rsidR="009710F8" w:rsidRPr="00E146A6" w:rsidRDefault="005C0873" w:rsidP="00E146A6">
            <w:pPr>
              <w:pStyle w:val="Paragraphedeliste"/>
              <w:keepNext/>
              <w:keepLines/>
              <w:numPr>
                <w:ilvl w:val="0"/>
                <w:numId w:val="17"/>
              </w:numPr>
              <w:ind w:left="432" w:hanging="204"/>
              <w:rPr>
                <w:szCs w:val="21"/>
              </w:rPr>
            </w:pPr>
            <w:r w:rsidRPr="00E146A6">
              <w:rPr>
                <w:szCs w:val="21"/>
              </w:rPr>
              <w:t>e</w:t>
            </w:r>
            <w:r w:rsidR="009710F8" w:rsidRPr="00E146A6">
              <w:rPr>
                <w:szCs w:val="21"/>
              </w:rPr>
              <w:t>xternaliser des stratégies de régulation, lignes directrices ou « bilans de doctrine » afin de rendre plus lisibles et prédictibles les décisions de l’ART</w:t>
            </w:r>
            <w:r w:rsidR="006F29B0" w:rsidRPr="00E146A6">
              <w:rPr>
                <w:szCs w:val="21"/>
              </w:rPr>
              <w:t>,</w:t>
            </w:r>
          </w:p>
          <w:p w14:paraId="64C48607" w14:textId="174C004E" w:rsidR="009710F8" w:rsidRPr="00E146A6" w:rsidRDefault="005C0873" w:rsidP="00E146A6">
            <w:pPr>
              <w:pStyle w:val="Paragraphedeliste"/>
              <w:keepNext/>
              <w:keepLines/>
              <w:numPr>
                <w:ilvl w:val="0"/>
                <w:numId w:val="17"/>
              </w:numPr>
              <w:ind w:left="432" w:hanging="204"/>
              <w:rPr>
                <w:szCs w:val="21"/>
              </w:rPr>
            </w:pPr>
            <w:r w:rsidRPr="00E146A6">
              <w:rPr>
                <w:szCs w:val="21"/>
              </w:rPr>
              <w:t>g</w:t>
            </w:r>
            <w:r w:rsidR="009710F8" w:rsidRPr="00E146A6">
              <w:rPr>
                <w:szCs w:val="21"/>
              </w:rPr>
              <w:t>énéraliser, pour ses rapports, la consultation préalable des parties prenantes avant leur publication définitive.</w:t>
            </w:r>
          </w:p>
        </w:tc>
      </w:tr>
    </w:tbl>
    <w:p w14:paraId="62F1884A" w14:textId="293254CF" w:rsidR="002D692F" w:rsidRDefault="00C55D36" w:rsidP="00F25DB7">
      <w:pPr>
        <w:pStyle w:val="Titre1"/>
      </w:pPr>
      <w:bookmarkStart w:id="25" w:name="_Toc156227418"/>
      <w:bookmarkStart w:id="26" w:name="_Toc129334607"/>
      <w:bookmarkStart w:id="27" w:name="_Toc129682354"/>
      <w:bookmarkStart w:id="28" w:name="_Toc129706049"/>
      <w:bookmarkStart w:id="29" w:name="_Toc156159348"/>
      <w:bookmarkStart w:id="30" w:name="_Toc156159421"/>
      <w:bookmarkStart w:id="31" w:name="_Toc156159356"/>
      <w:bookmarkStart w:id="32" w:name="_Toc156159429"/>
      <w:bookmarkStart w:id="33" w:name="_Toc156159362"/>
      <w:bookmarkStart w:id="34" w:name="_Toc156159435"/>
      <w:bookmarkStart w:id="35" w:name="_Toc156159363"/>
      <w:bookmarkStart w:id="36" w:name="_Toc156159436"/>
      <w:bookmarkStart w:id="37" w:name="_Toc156232593"/>
      <w:bookmarkStart w:id="38" w:name="_Toc156232661"/>
      <w:bookmarkStart w:id="39" w:name="_Toc156232695"/>
      <w:bookmarkStart w:id="40" w:name="_Toc156232729"/>
      <w:bookmarkStart w:id="41" w:name="_Toc156394040"/>
      <w:bookmarkEnd w:id="7"/>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t>Les enjeux</w:t>
      </w:r>
      <w:r w:rsidR="006F3EF1">
        <w:t xml:space="preserve"> de</w:t>
      </w:r>
      <w:r w:rsidR="003044BB">
        <w:t xml:space="preserve"> l’« acte II » de</w:t>
      </w:r>
      <w:r w:rsidR="006F3EF1">
        <w:t xml:space="preserve"> </w:t>
      </w:r>
      <w:r>
        <w:t xml:space="preserve">la </w:t>
      </w:r>
      <w:r w:rsidR="006F3EF1">
        <w:t>régulation</w:t>
      </w:r>
      <w:r w:rsidR="00052064">
        <w:t xml:space="preserve"> des transports</w:t>
      </w:r>
      <w:bookmarkStart w:id="42" w:name="_Hlk152338359"/>
      <w:bookmarkEnd w:id="41"/>
      <w:r>
        <w:t xml:space="preserve"> </w:t>
      </w:r>
    </w:p>
    <w:p w14:paraId="3A6A626C" w14:textId="0DD84636" w:rsidR="001D7001" w:rsidRDefault="001D7001" w:rsidP="001D7001">
      <w:bookmarkStart w:id="43" w:name="_Hlk152338507"/>
      <w:bookmarkEnd w:id="42"/>
      <w:r w:rsidRPr="00052064">
        <w:rPr>
          <w:b/>
          <w:bCs/>
        </w:rPr>
        <w:t xml:space="preserve">L’« acte II » de la régulation économique sectorielle des transports </w:t>
      </w:r>
      <w:r w:rsidR="00400E17">
        <w:rPr>
          <w:b/>
          <w:bCs/>
        </w:rPr>
        <w:t>doit prendre en compte</w:t>
      </w:r>
      <w:r w:rsidRPr="00052064">
        <w:rPr>
          <w:b/>
          <w:bCs/>
        </w:rPr>
        <w:t xml:space="preserve"> </w:t>
      </w:r>
      <w:r w:rsidR="00400E17">
        <w:rPr>
          <w:b/>
          <w:bCs/>
        </w:rPr>
        <w:t xml:space="preserve">les </w:t>
      </w:r>
      <w:r w:rsidRPr="00052064">
        <w:rPr>
          <w:b/>
          <w:bCs/>
        </w:rPr>
        <w:t>enjeux actuels et futurs du secteur</w:t>
      </w:r>
      <w:r w:rsidRPr="00D00A52">
        <w:rPr>
          <w:b/>
          <w:bCs/>
        </w:rPr>
        <w:t>.</w:t>
      </w:r>
      <w:r>
        <w:t xml:space="preserve"> A</w:t>
      </w:r>
      <w:r w:rsidRPr="00F667BB">
        <w:t xml:space="preserve">u vu de la place centrale occupée </w:t>
      </w:r>
      <w:r>
        <w:t>par l</w:t>
      </w:r>
      <w:r w:rsidRPr="00F667BB">
        <w:t xml:space="preserve">es transports dans l’économie française et dans le quotidien de la population, </w:t>
      </w:r>
      <w:r>
        <w:t>l’ART</w:t>
      </w:r>
      <w:r w:rsidRPr="00052064">
        <w:t xml:space="preserve"> s’attache à prendre en compte </w:t>
      </w:r>
      <w:r>
        <w:t>l</w:t>
      </w:r>
      <w:r w:rsidRPr="00052064">
        <w:t xml:space="preserve">es </w:t>
      </w:r>
      <w:r>
        <w:t>problématiques</w:t>
      </w:r>
      <w:r w:rsidRPr="00052064">
        <w:t xml:space="preserve"> du secteur dans son ensemble,</w:t>
      </w:r>
      <w:r>
        <w:rPr>
          <w:b/>
          <w:bCs/>
        </w:rPr>
        <w:t xml:space="preserve"> </w:t>
      </w:r>
      <w:r>
        <w:t>sur lesquelles elle</w:t>
      </w:r>
      <w:r w:rsidRPr="00F667BB">
        <w:t xml:space="preserve"> </w:t>
      </w:r>
      <w:r>
        <w:t>est susceptible d’</w:t>
      </w:r>
      <w:r w:rsidRPr="00F667BB">
        <w:t>exerce</w:t>
      </w:r>
      <w:r>
        <w:t>r</w:t>
      </w:r>
      <w:r w:rsidRPr="00F667BB">
        <w:t xml:space="preserve"> une influence directe ou indirecte</w:t>
      </w:r>
      <w:r>
        <w:t xml:space="preserve"> dans le cadre de son action régulatoire</w:t>
      </w:r>
      <w:r w:rsidRPr="00F667BB">
        <w:t>.</w:t>
      </w:r>
      <w:r>
        <w:t xml:space="preserve"> L’ART</w:t>
      </w:r>
      <w:r w:rsidRPr="00F667BB">
        <w:t xml:space="preserve"> a</w:t>
      </w:r>
      <w:r>
        <w:t xml:space="preserve"> ainsi</w:t>
      </w:r>
      <w:r w:rsidRPr="00F667BB">
        <w:t xml:space="preserve"> identifié </w:t>
      </w:r>
      <w:r>
        <w:t>plusieurs</w:t>
      </w:r>
      <w:r w:rsidRPr="00F667BB">
        <w:t xml:space="preserve"> enjeux </w:t>
      </w:r>
      <w:r>
        <w:t>stratégiques qui p</w:t>
      </w:r>
      <w:r w:rsidRPr="00F667BB">
        <w:t>ou</w:t>
      </w:r>
      <w:r>
        <w:t>rr</w:t>
      </w:r>
      <w:r w:rsidRPr="00F667BB">
        <w:t>a</w:t>
      </w:r>
      <w:r>
        <w:t>ie</w:t>
      </w:r>
      <w:r w:rsidRPr="00F667BB">
        <w:t xml:space="preserve">nt guider </w:t>
      </w:r>
      <w:r>
        <w:t>son action dans les six prochaines années</w:t>
      </w:r>
      <w:r w:rsidR="0010515B">
        <w:t> :</w:t>
      </w:r>
    </w:p>
    <w:tbl>
      <w:tblPr>
        <w:tblStyle w:val="Informationsdelanote"/>
        <w:tblW w:w="9067" w:type="dxa"/>
        <w:tblBorders>
          <w:top w:val="dashSmallGap" w:sz="4" w:space="0" w:color="6C8A99" w:themeColor="accent1"/>
          <w:left w:val="dashSmallGap" w:sz="4" w:space="0" w:color="6C8A99" w:themeColor="accent1"/>
          <w:bottom w:val="none" w:sz="0" w:space="0" w:color="auto"/>
          <w:right w:val="dashSmallGap" w:sz="4" w:space="0" w:color="6C8A99" w:themeColor="accent1"/>
        </w:tblBorders>
        <w:tblLook w:val="04A0" w:firstRow="1" w:lastRow="0" w:firstColumn="1" w:lastColumn="0" w:noHBand="0" w:noVBand="1"/>
      </w:tblPr>
      <w:tblGrid>
        <w:gridCol w:w="3022"/>
        <w:gridCol w:w="3022"/>
        <w:gridCol w:w="3023"/>
      </w:tblGrid>
      <w:tr w:rsidR="00EC39C3" w14:paraId="27B3306E" w14:textId="77777777" w:rsidTr="00D02D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2" w:type="dxa"/>
          </w:tcPr>
          <w:p w14:paraId="0FC55995" w14:textId="52F84F44" w:rsidR="00EC39C3" w:rsidRPr="00F10C4E" w:rsidRDefault="00EC39C3" w:rsidP="007E5A81">
            <w:pPr>
              <w:pStyle w:val="Icne"/>
              <w:spacing w:after="0"/>
            </w:pPr>
            <w:r>
              <w:drawing>
                <wp:inline distT="0" distB="0" distL="0" distR="0" wp14:anchorId="1B05C8DC" wp14:editId="47F75BA4">
                  <wp:extent cx="432000" cy="432000"/>
                  <wp:effectExtent l="0" t="0" r="6350" b="6350"/>
                  <wp:docPr id="30" name="Graphique 30" descr="Badge 1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phique 30" descr="Badge 1 avec un remplissage uni"/>
                          <pic:cNvPicPr/>
                        </pic:nvPicPr>
                        <pic:blipFill>
                          <a:blip r:embed="rId39">
                            <a:extLst>
                              <a:ext uri="{96DAC541-7B7A-43D3-8B79-37D633B846F1}">
                                <asvg:svgBlip xmlns:asvg="http://schemas.microsoft.com/office/drawing/2016/SVG/main" r:embed="rId40"/>
                              </a:ext>
                            </a:extLst>
                          </a:blip>
                          <a:stretch>
                            <a:fillRect/>
                          </a:stretch>
                        </pic:blipFill>
                        <pic:spPr>
                          <a:xfrm>
                            <a:off x="0" y="0"/>
                            <a:ext cx="432000" cy="432000"/>
                          </a:xfrm>
                          <a:prstGeom prst="rect">
                            <a:avLst/>
                          </a:prstGeom>
                        </pic:spPr>
                      </pic:pic>
                    </a:graphicData>
                  </a:graphic>
                </wp:inline>
              </w:drawing>
            </w:r>
          </w:p>
        </w:tc>
        <w:tc>
          <w:tcPr>
            <w:tcW w:w="3022" w:type="dxa"/>
          </w:tcPr>
          <w:p w14:paraId="210A568A" w14:textId="009AEA48" w:rsidR="00EC39C3" w:rsidRDefault="00F10C4E" w:rsidP="007E5A81">
            <w:pPr>
              <w:pStyle w:val="Icne"/>
              <w:spacing w:after="0"/>
              <w:cnfStyle w:val="100000000000" w:firstRow="1" w:lastRow="0" w:firstColumn="0" w:lastColumn="0" w:oddVBand="0" w:evenVBand="0" w:oddHBand="0" w:evenHBand="0" w:firstRowFirstColumn="0" w:firstRowLastColumn="0" w:lastRowFirstColumn="0" w:lastRowLastColumn="0"/>
            </w:pPr>
            <w:r>
              <w:drawing>
                <wp:inline distT="0" distB="0" distL="0" distR="0" wp14:anchorId="521A79B6" wp14:editId="59636E2C">
                  <wp:extent cx="432000" cy="432000"/>
                  <wp:effectExtent l="0" t="0" r="6350" b="6350"/>
                  <wp:docPr id="31" name="Graphique 31" descr="Badg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Graphique 31" descr="Badge avec un remplissage uni"/>
                          <pic:cNvPicPr/>
                        </pic:nvPicPr>
                        <pic:blipFill>
                          <a:blip r:embed="rId41">
                            <a:extLst>
                              <a:ext uri="{96DAC541-7B7A-43D3-8B79-37D633B846F1}">
                                <asvg:svgBlip xmlns:asvg="http://schemas.microsoft.com/office/drawing/2016/SVG/main" r:embed="rId42"/>
                              </a:ext>
                            </a:extLst>
                          </a:blip>
                          <a:stretch>
                            <a:fillRect/>
                          </a:stretch>
                        </pic:blipFill>
                        <pic:spPr>
                          <a:xfrm>
                            <a:off x="0" y="0"/>
                            <a:ext cx="432000" cy="432000"/>
                          </a:xfrm>
                          <a:prstGeom prst="rect">
                            <a:avLst/>
                          </a:prstGeom>
                        </pic:spPr>
                      </pic:pic>
                    </a:graphicData>
                  </a:graphic>
                </wp:inline>
              </w:drawing>
            </w:r>
          </w:p>
        </w:tc>
        <w:tc>
          <w:tcPr>
            <w:tcW w:w="3023" w:type="dxa"/>
          </w:tcPr>
          <w:p w14:paraId="24A6A275" w14:textId="6251983D" w:rsidR="00EC39C3" w:rsidRDefault="00F10C4E" w:rsidP="007E5A81">
            <w:pPr>
              <w:pStyle w:val="Icne"/>
              <w:spacing w:after="0"/>
              <w:cnfStyle w:val="100000000000" w:firstRow="1" w:lastRow="0" w:firstColumn="0" w:lastColumn="0" w:oddVBand="0" w:evenVBand="0" w:oddHBand="0" w:evenHBand="0" w:firstRowFirstColumn="0" w:firstRowLastColumn="0" w:lastRowFirstColumn="0" w:lastRowLastColumn="0"/>
            </w:pPr>
            <w:r>
              <w:drawing>
                <wp:inline distT="0" distB="0" distL="0" distR="0" wp14:anchorId="6F4A3566" wp14:editId="75DAE163">
                  <wp:extent cx="432000" cy="432000"/>
                  <wp:effectExtent l="0" t="0" r="6350" b="6350"/>
                  <wp:docPr id="32" name="Graphique 32" descr="Badge 3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Graphique 32" descr="Badge 3 avec un remplissage uni"/>
                          <pic:cNvPicPr/>
                        </pic:nvPicPr>
                        <pic:blipFill>
                          <a:blip r:embed="rId43">
                            <a:extLst>
                              <a:ext uri="{96DAC541-7B7A-43D3-8B79-37D633B846F1}">
                                <asvg:svgBlip xmlns:asvg="http://schemas.microsoft.com/office/drawing/2016/SVG/main" r:embed="rId44"/>
                              </a:ext>
                            </a:extLst>
                          </a:blip>
                          <a:stretch>
                            <a:fillRect/>
                          </a:stretch>
                        </pic:blipFill>
                        <pic:spPr>
                          <a:xfrm>
                            <a:off x="0" y="0"/>
                            <a:ext cx="432000" cy="432000"/>
                          </a:xfrm>
                          <a:prstGeom prst="rect">
                            <a:avLst/>
                          </a:prstGeom>
                        </pic:spPr>
                      </pic:pic>
                    </a:graphicData>
                  </a:graphic>
                </wp:inline>
              </w:drawing>
            </w:r>
          </w:p>
        </w:tc>
      </w:tr>
      <w:tr w:rsidR="00EC39C3" w14:paraId="157D827B" w14:textId="77777777" w:rsidTr="004060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2" w:type="dxa"/>
          </w:tcPr>
          <w:p w14:paraId="0117FC6E" w14:textId="4B53F605" w:rsidR="00EC39C3" w:rsidRDefault="00EC39C3" w:rsidP="007E5A81">
            <w:pPr>
              <w:pStyle w:val="Tableaulongcontenu"/>
            </w:pPr>
            <w:r>
              <w:drawing>
                <wp:anchor distT="0" distB="0" distL="114300" distR="114300" simplePos="0" relativeHeight="251658240" behindDoc="0" locked="0" layoutInCell="1" allowOverlap="1" wp14:anchorId="13652286" wp14:editId="320641DB">
                  <wp:simplePos x="0" y="0"/>
                  <wp:positionH relativeFrom="column">
                    <wp:posOffset>2540</wp:posOffset>
                  </wp:positionH>
                  <wp:positionV relativeFrom="paragraph">
                    <wp:posOffset>66675</wp:posOffset>
                  </wp:positionV>
                  <wp:extent cx="432000" cy="432000"/>
                  <wp:effectExtent l="0" t="0" r="6350" b="0"/>
                  <wp:wrapSquare wrapText="bothSides"/>
                  <wp:docPr id="29" name="Graphique 29" descr="Étoile d'évaluation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Étoile d'évaluation avec un remplissage uni"/>
                          <pic:cNvPicPr/>
                        </pic:nvPicPr>
                        <pic:blipFill>
                          <a:blip r:embed="rId16">
                            <a:extLst>
                              <a:ext uri="{96DAC541-7B7A-43D3-8B79-37D633B846F1}">
                                <asvg:svgBlip xmlns:asvg="http://schemas.microsoft.com/office/drawing/2016/SVG/main" r:embed="rId17"/>
                              </a:ext>
                            </a:extLst>
                          </a:blip>
                          <a:stretch>
                            <a:fillRect/>
                          </a:stretch>
                        </pic:blipFill>
                        <pic:spPr>
                          <a:xfrm>
                            <a:off x="0" y="0"/>
                            <a:ext cx="432000" cy="432000"/>
                          </a:xfrm>
                          <a:prstGeom prst="rect">
                            <a:avLst/>
                          </a:prstGeom>
                        </pic:spPr>
                      </pic:pic>
                    </a:graphicData>
                  </a:graphic>
                  <wp14:sizeRelH relativeFrom="margin">
                    <wp14:pctWidth>0</wp14:pctWidth>
                  </wp14:sizeRelH>
                  <wp14:sizeRelV relativeFrom="margin">
                    <wp14:pctHeight>0</wp14:pctHeight>
                  </wp14:sizeRelV>
                </wp:anchor>
              </w:drawing>
            </w:r>
            <w:r>
              <w:t>Contribuer à la maîtrise des prix et à l’amélioration de la qualité de service dans les secteurs qu’elle régule</w:t>
            </w:r>
          </w:p>
        </w:tc>
        <w:tc>
          <w:tcPr>
            <w:tcW w:w="3022" w:type="dxa"/>
          </w:tcPr>
          <w:p w14:paraId="103BAFAD" w14:textId="13C6250F" w:rsidR="00EC39C3" w:rsidRDefault="00EC39C3" w:rsidP="001D7001">
            <w:pPr>
              <w:cnfStyle w:val="000000100000" w:firstRow="0" w:lastRow="0" w:firstColumn="0" w:lastColumn="0" w:oddVBand="0" w:evenVBand="0" w:oddHBand="1" w:evenHBand="0" w:firstRowFirstColumn="0" w:firstRowLastColumn="0" w:lastRowFirstColumn="0" w:lastRowLastColumn="0"/>
            </w:pPr>
            <w:r>
              <w:rPr>
                <w:noProof/>
              </w:rPr>
              <w:drawing>
                <wp:anchor distT="0" distB="0" distL="114300" distR="114300" simplePos="0" relativeHeight="251658241" behindDoc="0" locked="0" layoutInCell="1" allowOverlap="1" wp14:anchorId="33887D8D" wp14:editId="7460ABFE">
                  <wp:simplePos x="0" y="0"/>
                  <wp:positionH relativeFrom="column">
                    <wp:posOffset>8890</wp:posOffset>
                  </wp:positionH>
                  <wp:positionV relativeFrom="paragraph">
                    <wp:posOffset>238125</wp:posOffset>
                  </wp:positionV>
                  <wp:extent cx="432000" cy="432000"/>
                  <wp:effectExtent l="0" t="0" r="6350" b="0"/>
                  <wp:wrapSquare wrapText="bothSides"/>
                  <wp:docPr id="27" name="Graphique 27" descr="Main ouverte avec une plant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que 1" descr="Main ouverte avec une plante avec un remplissage uni"/>
                          <pic:cNvPicPr/>
                        </pic:nvPicPr>
                        <pic:blipFill>
                          <a:blip r:embed="rId12">
                            <a:extLst>
                              <a:ext uri="{96DAC541-7B7A-43D3-8B79-37D633B846F1}">
                                <asvg:svgBlip xmlns:asvg="http://schemas.microsoft.com/office/drawing/2016/SVG/main" r:embed="rId13"/>
                              </a:ext>
                            </a:extLst>
                          </a:blip>
                          <a:stretch>
                            <a:fillRect/>
                          </a:stretch>
                        </pic:blipFill>
                        <pic:spPr>
                          <a:xfrm>
                            <a:off x="0" y="0"/>
                            <a:ext cx="432000" cy="432000"/>
                          </a:xfrm>
                          <a:prstGeom prst="rect">
                            <a:avLst/>
                          </a:prstGeom>
                        </pic:spPr>
                      </pic:pic>
                    </a:graphicData>
                  </a:graphic>
                  <wp14:sizeRelH relativeFrom="margin">
                    <wp14:pctWidth>0</wp14:pctWidth>
                  </wp14:sizeRelH>
                  <wp14:sizeRelV relativeFrom="margin">
                    <wp14:pctHeight>0</wp14:pctHeight>
                  </wp14:sizeRelV>
                </wp:anchor>
              </w:drawing>
            </w:r>
            <w:r>
              <w:t xml:space="preserve">Inscrire la </w:t>
            </w:r>
            <w:r w:rsidRPr="003415EB">
              <w:t xml:space="preserve">régulation </w:t>
            </w:r>
            <w:r>
              <w:t>dans la transition écologique</w:t>
            </w:r>
          </w:p>
        </w:tc>
        <w:tc>
          <w:tcPr>
            <w:tcW w:w="3023" w:type="dxa"/>
          </w:tcPr>
          <w:p w14:paraId="5CCF3DAA" w14:textId="0DF6D8CD" w:rsidR="00EC39C3" w:rsidRDefault="00152C9C" w:rsidP="007E5A81">
            <w:pPr>
              <w:jc w:val="left"/>
              <w:cnfStyle w:val="000000100000" w:firstRow="0" w:lastRow="0" w:firstColumn="0" w:lastColumn="0" w:oddVBand="0" w:evenVBand="0" w:oddHBand="1" w:evenHBand="0" w:firstRowFirstColumn="0" w:firstRowLastColumn="0" w:lastRowFirstColumn="0" w:lastRowLastColumn="0"/>
            </w:pPr>
            <w:r>
              <w:rPr>
                <w:noProof/>
              </w:rPr>
              <w:drawing>
                <wp:anchor distT="0" distB="0" distL="114300" distR="114300" simplePos="0" relativeHeight="251658242" behindDoc="0" locked="0" layoutInCell="1" allowOverlap="1" wp14:anchorId="66FCF8C4" wp14:editId="282D4F29">
                  <wp:simplePos x="0" y="0"/>
                  <wp:positionH relativeFrom="column">
                    <wp:posOffset>2540</wp:posOffset>
                  </wp:positionH>
                  <wp:positionV relativeFrom="paragraph">
                    <wp:posOffset>250825</wp:posOffset>
                  </wp:positionV>
                  <wp:extent cx="432000" cy="432000"/>
                  <wp:effectExtent l="0" t="0" r="6350" b="6350"/>
                  <wp:wrapSquare wrapText="bothSides"/>
                  <wp:docPr id="35" name="Graphique 35" descr="Produits chimiques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phique 35" descr="Produits chimiques avec un remplissage uni"/>
                          <pic:cNvPicPr/>
                        </pic:nvPicPr>
                        <pic:blipFill>
                          <a:blip r:embed="rId45">
                            <a:extLst>
                              <a:ext uri="{96DAC541-7B7A-43D3-8B79-37D633B846F1}">
                                <asvg:svgBlip xmlns:asvg="http://schemas.microsoft.com/office/drawing/2016/SVG/main" r:embed="rId46"/>
                              </a:ext>
                            </a:extLst>
                          </a:blip>
                          <a:stretch>
                            <a:fillRect/>
                          </a:stretch>
                        </pic:blipFill>
                        <pic:spPr>
                          <a:xfrm>
                            <a:off x="0" y="0"/>
                            <a:ext cx="432000" cy="432000"/>
                          </a:xfrm>
                          <a:prstGeom prst="rect">
                            <a:avLst/>
                          </a:prstGeom>
                        </pic:spPr>
                      </pic:pic>
                    </a:graphicData>
                  </a:graphic>
                </wp:anchor>
              </w:drawing>
            </w:r>
            <w:r w:rsidR="00EC39C3">
              <w:t xml:space="preserve">Développer une approche multimodale de </w:t>
            </w:r>
            <w:r w:rsidR="00EC39C3" w:rsidRPr="003415EB">
              <w:t xml:space="preserve">la </w:t>
            </w:r>
            <w:r w:rsidR="00EC39C3">
              <w:t>régulation</w:t>
            </w:r>
          </w:p>
        </w:tc>
      </w:tr>
    </w:tbl>
    <w:p w14:paraId="5A24D53E" w14:textId="59A15409" w:rsidR="00FB4738" w:rsidRPr="003415EB" w:rsidRDefault="000853B0" w:rsidP="00B657BC">
      <w:pPr>
        <w:pStyle w:val="Titre2"/>
      </w:pPr>
      <w:bookmarkStart w:id="44" w:name="_Toc156227434"/>
      <w:bookmarkStart w:id="45" w:name="_Toc156232609"/>
      <w:bookmarkStart w:id="46" w:name="_Toc156232677"/>
      <w:bookmarkStart w:id="47" w:name="_Toc156232711"/>
      <w:bookmarkStart w:id="48" w:name="_Toc156232745"/>
      <w:bookmarkStart w:id="49" w:name="_Toc156394041"/>
      <w:bookmarkEnd w:id="43"/>
      <w:bookmarkEnd w:id="44"/>
      <w:bookmarkEnd w:id="45"/>
      <w:bookmarkEnd w:id="46"/>
      <w:bookmarkEnd w:id="47"/>
      <w:bookmarkEnd w:id="48"/>
      <w:r>
        <w:lastRenderedPageBreak/>
        <w:t>C</w:t>
      </w:r>
      <w:r w:rsidR="00A92D91">
        <w:t xml:space="preserve">ontribuer à </w:t>
      </w:r>
      <w:r w:rsidR="003B05CF">
        <w:t xml:space="preserve">la maîtrise des prix et </w:t>
      </w:r>
      <w:r>
        <w:t xml:space="preserve">à </w:t>
      </w:r>
      <w:r w:rsidR="003B05CF">
        <w:t>l’amélioration de la qualité de service</w:t>
      </w:r>
      <w:bookmarkEnd w:id="49"/>
    </w:p>
    <w:bookmarkStart w:id="50" w:name="_Hlk152338851"/>
    <w:p w14:paraId="4D5C7DB5" w14:textId="2173F11D" w:rsidR="00DB240F" w:rsidRPr="00DB240F" w:rsidRDefault="00F71048" w:rsidP="00E146A6">
      <w:pPr>
        <w:pStyle w:val="Emphase"/>
        <w:keepNext/>
        <w:keepLines/>
        <w:rPr>
          <w:u w:val="single"/>
        </w:rPr>
      </w:pPr>
      <w:r>
        <w:rPr>
          <w:b w:val="0"/>
          <w:bCs/>
        </w:rPr>
        <mc:AlternateContent>
          <mc:Choice Requires="wps">
            <w:drawing>
              <wp:anchor distT="0" distB="0" distL="114300" distR="114300" simplePos="0" relativeHeight="251658246" behindDoc="0" locked="0" layoutInCell="1" allowOverlap="1" wp14:anchorId="494E0535" wp14:editId="1B463DC4">
                <wp:simplePos x="0" y="0"/>
                <wp:positionH relativeFrom="margin">
                  <wp:posOffset>3830320</wp:posOffset>
                </wp:positionH>
                <wp:positionV relativeFrom="paragraph">
                  <wp:posOffset>10160</wp:posOffset>
                </wp:positionV>
                <wp:extent cx="2040255" cy="2750820"/>
                <wp:effectExtent l="0" t="0" r="17145" b="11430"/>
                <wp:wrapSquare wrapText="bothSides"/>
                <wp:docPr id="15" name="Zone de texte 15"/>
                <wp:cNvGraphicFramePr/>
                <a:graphic xmlns:a="http://schemas.openxmlformats.org/drawingml/2006/main">
                  <a:graphicData uri="http://schemas.microsoft.com/office/word/2010/wordprocessingShape">
                    <wps:wsp>
                      <wps:cNvSpPr txBox="1"/>
                      <wps:spPr>
                        <a:xfrm>
                          <a:off x="0" y="0"/>
                          <a:ext cx="2040255" cy="2750820"/>
                        </a:xfrm>
                        <a:prstGeom prst="rect">
                          <a:avLst/>
                        </a:prstGeom>
                        <a:solidFill>
                          <a:schemeClr val="lt1"/>
                        </a:solidFill>
                        <a:ln w="6350">
                          <a:solidFill>
                            <a:schemeClr val="tx2"/>
                          </a:solidFill>
                        </a:ln>
                      </wps:spPr>
                      <wps:txbx>
                        <w:txbxContent>
                          <w:p w14:paraId="36262709" w14:textId="77777777" w:rsidR="006D6832" w:rsidRDefault="006D6832" w:rsidP="007E5A81">
                            <w:pPr>
                              <w:pStyle w:val="Icne"/>
                            </w:pPr>
                            <w:r>
                              <w:drawing>
                                <wp:inline distT="0" distB="0" distL="0" distR="0" wp14:anchorId="1E2986F7" wp14:editId="1521E3FA">
                                  <wp:extent cx="1028700" cy="901700"/>
                                  <wp:effectExtent l="0" t="0" r="0" b="0"/>
                                  <wp:docPr id="42" name="Graphique 42" descr="Europ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que 16" descr="Europe avec un remplissage uni"/>
                                          <pic:cNvPicPr/>
                                        </pic:nvPicPr>
                                        <pic:blipFill rotWithShape="1">
                                          <a:blip r:embed="rId47">
                                            <a:extLst>
                                              <a:ext uri="{96DAC541-7B7A-43D3-8B79-37D633B846F1}">
                                                <asvg:svgBlip xmlns:asvg="http://schemas.microsoft.com/office/drawing/2016/SVG/main" r:embed="rId48"/>
                                              </a:ext>
                                            </a:extLst>
                                          </a:blip>
                                          <a:srcRect b="12346"/>
                                          <a:stretch/>
                                        </pic:blipFill>
                                        <pic:spPr bwMode="auto">
                                          <a:xfrm>
                                            <a:off x="0" y="0"/>
                                            <a:ext cx="1028700" cy="901700"/>
                                          </a:xfrm>
                                          <a:prstGeom prst="rect">
                                            <a:avLst/>
                                          </a:prstGeom>
                                          <a:ln>
                                            <a:noFill/>
                                          </a:ln>
                                          <a:extLst>
                                            <a:ext uri="{53640926-AAD7-44D8-BBD7-CCE9431645EC}">
                                              <a14:shadowObscured xmlns:a14="http://schemas.microsoft.com/office/drawing/2010/main"/>
                                            </a:ext>
                                          </a:extLst>
                                        </pic:spPr>
                                      </pic:pic>
                                    </a:graphicData>
                                  </a:graphic>
                                </wp:inline>
                              </w:drawing>
                            </w:r>
                          </w:p>
                          <w:p w14:paraId="70B458C9" w14:textId="77777777" w:rsidR="002333F0" w:rsidRDefault="006D6832">
                            <w:pPr>
                              <w:rPr>
                                <w:rFonts w:eastAsia="Calibri"/>
                              </w:rPr>
                            </w:pPr>
                            <w:r>
                              <w:rPr>
                                <w:rFonts w:eastAsia="Calibri"/>
                              </w:rPr>
                              <w:t>L’expérience européenne montre que la concurrence conduit à une amélioration de la qualité des services de transport de voyageurs.</w:t>
                            </w:r>
                          </w:p>
                          <w:p w14:paraId="51BF1306" w14:textId="77777777" w:rsidR="006D6832" w:rsidRDefault="006D6832">
                            <w:r w:rsidRPr="002333F0">
                              <w:rPr>
                                <w:sz w:val="16"/>
                                <w:szCs w:val="16"/>
                              </w:rPr>
                              <w:t>Voir, par exemple, l’</w:t>
                            </w:r>
                            <w:hyperlink r:id="rId49" w:history="1">
                              <w:r w:rsidRPr="002333F0">
                                <w:rPr>
                                  <w:rStyle w:val="Lienhypertexte"/>
                                  <w:sz w:val="16"/>
                                  <w:szCs w:val="16"/>
                                </w:rPr>
                                <w:t>étude de février 2022 sur l’ouverture à la concurrence des services domestiques de transport ferroviaire de voyageurs</w:t>
                              </w:r>
                            </w:hyperlink>
                            <w:r w:rsidRPr="00272A67">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4E0535" id="_x0000_t202" coordsize="21600,21600" o:spt="202" path="m,l,21600r21600,l21600,xe">
                <v:stroke joinstyle="miter"/>
                <v:path gradientshapeok="t" o:connecttype="rect"/>
              </v:shapetype>
              <v:shape id="Zone de texte 15" o:spid="_x0000_s1026" type="#_x0000_t202" style="position:absolute;margin-left:301.6pt;margin-top:.8pt;width:160.65pt;height:216.6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" fillcolor="white [3201]" strokecolor="#24356d [3215]" strokeweight=".5pt">
                <v:textbox>
                  <w:txbxContent>
                    <w:p w14:paraId="36262709" w14:textId="77777777" w:rsidR="006D6832" w:rsidRDefault="006D6832" w:rsidP="007E5A81">
                      <w:pPr>
                        <w:pStyle w:val="Icne"/>
                      </w:pPr>
                      <w:r>
                        <w:drawing>
                          <wp:inline distT="0" distB="0" distL="0" distR="0" wp14:anchorId="1E2986F7" wp14:editId="1521E3FA">
                            <wp:extent cx="1028700" cy="901700"/>
                            <wp:effectExtent l="0" t="0" r="0" b="0"/>
                            <wp:docPr id="42" name="Graphique 42" descr="Europ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que 16" descr="Europe avec un remplissage uni"/>
                                    <pic:cNvPicPr/>
                                  </pic:nvPicPr>
                                  <pic:blipFill rotWithShape="1">
                                    <a:blip r:embed="rId50">
                                      <a:extLst>
                                        <a:ext uri="{96DAC541-7B7A-43D3-8B79-37D633B846F1}">
                                          <asvg:svgBlip xmlns:asvg="http://schemas.microsoft.com/office/drawing/2016/SVG/main" r:embed="rId51"/>
                                        </a:ext>
                                      </a:extLst>
                                    </a:blip>
                                    <a:srcRect b="12346"/>
                                    <a:stretch/>
                                  </pic:blipFill>
                                  <pic:spPr bwMode="auto">
                                    <a:xfrm>
                                      <a:off x="0" y="0"/>
                                      <a:ext cx="1028700" cy="901700"/>
                                    </a:xfrm>
                                    <a:prstGeom prst="rect">
                                      <a:avLst/>
                                    </a:prstGeom>
                                    <a:ln>
                                      <a:noFill/>
                                    </a:ln>
                                    <a:extLst>
                                      <a:ext uri="{53640926-AAD7-44D8-BBD7-CCE9431645EC}">
                                        <a14:shadowObscured xmlns:a14="http://schemas.microsoft.com/office/drawing/2010/main"/>
                                      </a:ext>
                                    </a:extLst>
                                  </pic:spPr>
                                </pic:pic>
                              </a:graphicData>
                            </a:graphic>
                          </wp:inline>
                        </w:drawing>
                      </w:r>
                    </w:p>
                    <w:p w14:paraId="70B458C9" w14:textId="77777777" w:rsidR="002333F0" w:rsidRDefault="006D6832">
                      <w:pPr>
                        <w:rPr>
                          <w:rFonts w:eastAsia="Calibri"/>
                        </w:rPr>
                      </w:pPr>
                      <w:r>
                        <w:rPr>
                          <w:rFonts w:eastAsia="Calibri"/>
                        </w:rPr>
                        <w:t>L’expérience européenne montre que la concurrence conduit à une amélioration de la qualité des services de transport de voyageurs.</w:t>
                      </w:r>
                    </w:p>
                    <w:p w14:paraId="51BF1306" w14:textId="77777777" w:rsidR="006D6832" w:rsidRDefault="006D6832">
                      <w:r w:rsidRPr="002333F0">
                        <w:rPr>
                          <w:sz w:val="16"/>
                          <w:szCs w:val="16"/>
                        </w:rPr>
                        <w:t>Voir, par exemple, l’</w:t>
                      </w:r>
                      <w:hyperlink r:id="rId52" w:history="1">
                        <w:r w:rsidRPr="002333F0">
                          <w:rPr>
                            <w:rStyle w:val="Lienhypertexte"/>
                            <w:sz w:val="16"/>
                            <w:szCs w:val="16"/>
                          </w:rPr>
                          <w:t>étude de février 2022 sur l’ouverture à la concurrence des services domestiques de transport ferroviaire de voyageurs</w:t>
                        </w:r>
                      </w:hyperlink>
                      <w:r w:rsidRPr="00272A67">
                        <w:t>.</w:t>
                      </w:r>
                    </w:p>
                  </w:txbxContent>
                </v:textbox>
                <w10:wrap type="square" anchorx="margin"/>
              </v:shape>
            </w:pict>
          </mc:Fallback>
        </mc:AlternateContent>
      </w:r>
      <w:r w:rsidR="003F7705">
        <w:drawing>
          <wp:anchor distT="0" distB="0" distL="114300" distR="114300" simplePos="0" relativeHeight="251658243" behindDoc="0" locked="0" layoutInCell="1" allowOverlap="1" wp14:anchorId="0CBB3FF7" wp14:editId="64C4551B">
            <wp:simplePos x="0" y="0"/>
            <wp:positionH relativeFrom="column">
              <wp:posOffset>23495</wp:posOffset>
            </wp:positionH>
            <wp:positionV relativeFrom="paragraph">
              <wp:posOffset>6985</wp:posOffset>
            </wp:positionV>
            <wp:extent cx="431800" cy="431800"/>
            <wp:effectExtent l="0" t="0" r="6350" b="6350"/>
            <wp:wrapSquare wrapText="bothSides"/>
            <wp:docPr id="38" name="Graphique 38" descr="Présentation avec graphique à barres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Présentation avec graphique à barres avec un remplissage uni"/>
                    <pic:cNvPicPr/>
                  </pic:nvPicPr>
                  <pic:blipFill>
                    <a:blip r:embed="rId14">
                      <a:extLst>
                        <a:ext uri="{96DAC541-7B7A-43D3-8B79-37D633B846F1}">
                          <asvg:svgBlip xmlns:asvg="http://schemas.microsoft.com/office/drawing/2016/SVG/main" r:embed="rId15"/>
                        </a:ext>
                      </a:extLst>
                    </a:blip>
                    <a:stretch>
                      <a:fillRect/>
                    </a:stretch>
                  </pic:blipFill>
                  <pic:spPr>
                    <a:xfrm>
                      <a:off x="0" y="0"/>
                      <a:ext cx="431800" cy="431800"/>
                    </a:xfrm>
                    <a:prstGeom prst="rect">
                      <a:avLst/>
                    </a:prstGeom>
                  </pic:spPr>
                </pic:pic>
              </a:graphicData>
            </a:graphic>
            <wp14:sizeRelH relativeFrom="margin">
              <wp14:pctWidth>0</wp14:pctWidth>
            </wp14:sizeRelH>
            <wp14:sizeRelV relativeFrom="margin">
              <wp14:pctHeight>0</wp14:pctHeight>
            </wp14:sizeRelV>
          </wp:anchor>
        </w:drawing>
      </w:r>
      <w:r w:rsidR="00DB240F">
        <w:t>Réguler afin d’éviter des coûts et prix excessifs</w:t>
      </w:r>
      <w:r w:rsidR="003F7705">
        <w:t xml:space="preserve"> </w:t>
      </w:r>
      <w:r w:rsidR="00DB240F">
        <w:t>…</w:t>
      </w:r>
    </w:p>
    <w:p w14:paraId="75A10CD6" w14:textId="63BF078E" w:rsidR="00E00252" w:rsidRDefault="00E00252" w:rsidP="00E146A6">
      <w:pPr>
        <w:keepNext/>
        <w:keepLines/>
      </w:pPr>
      <w:r>
        <w:rPr>
          <w:b/>
          <w:bCs/>
        </w:rPr>
        <w:t xml:space="preserve">L’un des </w:t>
      </w:r>
      <w:r w:rsidRPr="00F667BB">
        <w:rPr>
          <w:b/>
          <w:bCs/>
        </w:rPr>
        <w:t>enjeu</w:t>
      </w:r>
      <w:r>
        <w:rPr>
          <w:b/>
          <w:bCs/>
        </w:rPr>
        <w:t>x</w:t>
      </w:r>
      <w:r w:rsidRPr="00F667BB">
        <w:rPr>
          <w:b/>
          <w:bCs/>
        </w:rPr>
        <w:t xml:space="preserve"> majeur</w:t>
      </w:r>
      <w:r>
        <w:rPr>
          <w:b/>
          <w:bCs/>
        </w:rPr>
        <w:t>s</w:t>
      </w:r>
      <w:r w:rsidRPr="00F667BB">
        <w:rPr>
          <w:b/>
          <w:bCs/>
        </w:rPr>
        <w:t xml:space="preserve"> du secteur des transports</w:t>
      </w:r>
      <w:r w:rsidR="006E2072">
        <w:rPr>
          <w:b/>
          <w:bCs/>
        </w:rPr>
        <w:t>, qui constitue également le cœur de métier de tout régulateur économique,</w:t>
      </w:r>
      <w:r w:rsidRPr="00F667BB">
        <w:rPr>
          <w:b/>
          <w:bCs/>
        </w:rPr>
        <w:t xml:space="preserve"> porte sur la maîtrise des </w:t>
      </w:r>
      <w:r w:rsidRPr="003B05CF">
        <w:rPr>
          <w:b/>
          <w:bCs/>
        </w:rPr>
        <w:t xml:space="preserve">prix pour protéger le pouvoir d’achat des </w:t>
      </w:r>
      <w:r w:rsidR="00400E17">
        <w:rPr>
          <w:b/>
          <w:bCs/>
        </w:rPr>
        <w:t xml:space="preserve">usagers </w:t>
      </w:r>
      <w:r w:rsidRPr="003B05CF">
        <w:rPr>
          <w:b/>
          <w:bCs/>
        </w:rPr>
        <w:t xml:space="preserve">et la compétitivité des entreprises, </w:t>
      </w:r>
      <w:r w:rsidRPr="008C0270">
        <w:t>enjeu d’autant plus important dans le contexte inflationniste ayant marqué la période 2022-2023.</w:t>
      </w:r>
      <w:r w:rsidRPr="00F667BB">
        <w:t xml:space="preserve"> </w:t>
      </w:r>
      <w:r>
        <w:t>Les transports représentent en effet environ 15% du budget des ménages</w:t>
      </w:r>
      <w:r w:rsidR="007A7207">
        <w:t>,</w:t>
      </w:r>
      <w:r>
        <w:t xml:space="preserve"> mais cette part dépasse 20</w:t>
      </w:r>
      <w:r w:rsidR="007A7207">
        <w:t> </w:t>
      </w:r>
      <w:r>
        <w:t>% chez les ménages les plus modestes</w:t>
      </w:r>
      <w:r w:rsidR="007A7207">
        <w:t>,</w:t>
      </w:r>
      <w:r>
        <w:t xml:space="preserve"> alors qu’elle est à peine supérieure à 10</w:t>
      </w:r>
      <w:r w:rsidR="007A7207">
        <w:t> </w:t>
      </w:r>
      <w:r>
        <w:t xml:space="preserve">% chez les plus aisés. </w:t>
      </w:r>
      <w:r w:rsidRPr="00F667BB">
        <w:t>Le coût du transport, qui est particulièrement sensible à l’évolution des prix de l’énergie, pèse sur le pouvoir d’achat des ménages et sur la compétitivité des entreprises</w:t>
      </w:r>
      <w:r w:rsidR="00400E17">
        <w:t>, ce qui</w:t>
      </w:r>
      <w:r w:rsidRPr="00F667BB">
        <w:t xml:space="preserve"> implique de porter une attention particulière à l’évolution des prix des </w:t>
      </w:r>
      <w:r w:rsidR="00FD27A5">
        <w:t xml:space="preserve">services de </w:t>
      </w:r>
      <w:r w:rsidRPr="00F667BB">
        <w:t>transport</w:t>
      </w:r>
      <w:r>
        <w:t>.</w:t>
      </w:r>
    </w:p>
    <w:p w14:paraId="3E765BD0" w14:textId="3291CAC6" w:rsidR="003B05CF" w:rsidRPr="00F667BB" w:rsidRDefault="003B05CF" w:rsidP="003B05CF">
      <w:r w:rsidRPr="002B07AD">
        <w:rPr>
          <w:b/>
          <w:bCs/>
        </w:rPr>
        <w:t xml:space="preserve">Cette préoccupation est d’autant plus naturelle pour </w:t>
      </w:r>
      <w:r w:rsidR="00E00252">
        <w:rPr>
          <w:b/>
          <w:bCs/>
        </w:rPr>
        <w:t>l’ART</w:t>
      </w:r>
      <w:r w:rsidRPr="002B07AD">
        <w:rPr>
          <w:b/>
          <w:bCs/>
        </w:rPr>
        <w:t xml:space="preserve"> qu’elle s’inscrit directement dans le prolongement de ses missions premières de régulateur économique sectoriel.</w:t>
      </w:r>
      <w:r>
        <w:t xml:space="preserve"> </w:t>
      </w:r>
      <w:r w:rsidR="00E00252">
        <w:t>L’ART</w:t>
      </w:r>
      <w:r w:rsidRPr="00F667BB">
        <w:t xml:space="preserve"> peut </w:t>
      </w:r>
      <w:r w:rsidR="00FD27A5">
        <w:t xml:space="preserve">jouer </w:t>
      </w:r>
      <w:r w:rsidRPr="00F667BB">
        <w:t>sur deux leviers :</w:t>
      </w:r>
    </w:p>
    <w:p w14:paraId="5DAD0DF5" w14:textId="175C8CD3" w:rsidR="003B05CF" w:rsidRPr="00F667BB" w:rsidRDefault="00256F91" w:rsidP="00A7334B">
      <w:pPr>
        <w:pStyle w:val="Paragraphedeliste"/>
        <w:numPr>
          <w:ilvl w:val="0"/>
          <w:numId w:val="6"/>
        </w:numPr>
        <w:contextualSpacing w:val="0"/>
      </w:pPr>
      <w:r w:rsidRPr="0010515B">
        <w:t>v</w:t>
      </w:r>
      <w:r w:rsidR="003B05CF" w:rsidRPr="0010515B">
        <w:t>eiller à l’existence d’une concurrence effective</w:t>
      </w:r>
      <w:r w:rsidR="003B05CF" w:rsidRPr="00F667BB">
        <w:t xml:space="preserve"> sur les marchés ouverts à la concurrence afin de permettre l’existence d’une pression à la baisse sur les prix ;</w:t>
      </w:r>
    </w:p>
    <w:p w14:paraId="52FD5036" w14:textId="15DF6282" w:rsidR="003B05CF" w:rsidRDefault="00FF13F4" w:rsidP="00A7334B">
      <w:pPr>
        <w:pStyle w:val="Paragraphedeliste"/>
        <w:numPr>
          <w:ilvl w:val="0"/>
          <w:numId w:val="6"/>
        </w:numPr>
      </w:pPr>
      <w:r w:rsidRPr="0010515B">
        <w:t xml:space="preserve">veiller au bien-fondé des </w:t>
      </w:r>
      <w:r w:rsidR="003B05CF" w:rsidRPr="0010515B">
        <w:t xml:space="preserve">tarifs pratiqués par les </w:t>
      </w:r>
      <w:r w:rsidR="008C0270" w:rsidRPr="0010515B">
        <w:t>gestionnaires d’infrastructure et services essentiels</w:t>
      </w:r>
      <w:r w:rsidR="003B05CF" w:rsidRPr="0010515B">
        <w:t xml:space="preserve"> en situation de monopole</w:t>
      </w:r>
      <w:r w:rsidR="003B05CF" w:rsidRPr="00F667BB">
        <w:t xml:space="preserve"> </w:t>
      </w:r>
      <w:r w:rsidR="008C0270">
        <w:t>(réseau ferré, aéroports, gestionnaires d’autoroutes…)</w:t>
      </w:r>
      <w:r w:rsidR="001C183B">
        <w:t xml:space="preserve"> </w:t>
      </w:r>
      <w:r w:rsidR="003B05CF" w:rsidRPr="00F667BB">
        <w:t xml:space="preserve">et, singulièrement, </w:t>
      </w:r>
      <w:r w:rsidR="003B05CF">
        <w:t>les inciter à la</w:t>
      </w:r>
      <w:r w:rsidR="003B05CF" w:rsidRPr="00F667BB">
        <w:t xml:space="preserve"> performance</w:t>
      </w:r>
      <w:r w:rsidR="00F96CFC">
        <w:t xml:space="preserve"> sur le volet des coûts</w:t>
      </w:r>
      <w:r w:rsidR="003B05CF" w:rsidRPr="00F667BB">
        <w:t xml:space="preserve">, mission première d’un régulateur économique sectoriel tel que </w:t>
      </w:r>
      <w:r w:rsidR="00E00252">
        <w:t>l’ART</w:t>
      </w:r>
      <w:r w:rsidR="003B05CF" w:rsidRPr="00F667BB">
        <w:t>.</w:t>
      </w:r>
    </w:p>
    <w:p w14:paraId="5AFB0A26" w14:textId="68A2C47F" w:rsidR="00E00252" w:rsidRDefault="00B657BC" w:rsidP="00E00252">
      <w:r>
        <w:rPr>
          <w:noProof/>
        </w:rPr>
        <w:drawing>
          <wp:anchor distT="0" distB="0" distL="114300" distR="114300" simplePos="0" relativeHeight="251658245" behindDoc="1" locked="0" layoutInCell="1" allowOverlap="1" wp14:anchorId="3464248A" wp14:editId="7964F2B1">
            <wp:simplePos x="0" y="0"/>
            <wp:positionH relativeFrom="column">
              <wp:posOffset>2484120</wp:posOffset>
            </wp:positionH>
            <wp:positionV relativeFrom="paragraph">
              <wp:posOffset>1437640</wp:posOffset>
            </wp:positionV>
            <wp:extent cx="431800" cy="431800"/>
            <wp:effectExtent l="0" t="0" r="6350" b="0"/>
            <wp:wrapTight wrapText="bothSides">
              <wp:wrapPolygon edited="0">
                <wp:start x="953" y="5718"/>
                <wp:lineTo x="0" y="9529"/>
                <wp:lineTo x="0" y="16200"/>
                <wp:lineTo x="20965" y="16200"/>
                <wp:lineTo x="20965" y="9529"/>
                <wp:lineTo x="20012" y="5718"/>
                <wp:lineTo x="953" y="5718"/>
              </wp:wrapPolygon>
            </wp:wrapTight>
            <wp:docPr id="37" name="Graphique 37" descr="Étoile d'évaluation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Étoile d'évaluation avec un remplissage uni"/>
                    <pic:cNvPicPr/>
                  </pic:nvPicPr>
                  <pic:blipFill>
                    <a:blip r:embed="rId16">
                      <a:extLst>
                        <a:ext uri="{96DAC541-7B7A-43D3-8B79-37D633B846F1}">
                          <asvg:svgBlip xmlns:asvg="http://schemas.microsoft.com/office/drawing/2016/SVG/main" r:embed="rId17"/>
                        </a:ext>
                      </a:extLst>
                    </a:blip>
                    <a:stretch>
                      <a:fillRect/>
                    </a:stretch>
                  </pic:blipFill>
                  <pic:spPr>
                    <a:xfrm>
                      <a:off x="0" y="0"/>
                      <a:ext cx="431800" cy="431800"/>
                    </a:xfrm>
                    <a:prstGeom prst="rect">
                      <a:avLst/>
                    </a:prstGeom>
                  </pic:spPr>
                </pic:pic>
              </a:graphicData>
            </a:graphic>
          </wp:anchor>
        </w:drawing>
      </w:r>
      <w:r w:rsidR="00E00252" w:rsidRPr="00D04324">
        <w:rPr>
          <w:b/>
          <w:bCs/>
        </w:rPr>
        <w:t xml:space="preserve">Cet enjeu de maîtrise des prix </w:t>
      </w:r>
      <w:r w:rsidR="005A6177">
        <w:rPr>
          <w:b/>
          <w:bCs/>
        </w:rPr>
        <w:t xml:space="preserve">est indissociable </w:t>
      </w:r>
      <w:r w:rsidR="00E00252" w:rsidRPr="00D04324">
        <w:rPr>
          <w:b/>
          <w:bCs/>
        </w:rPr>
        <w:t>de</w:t>
      </w:r>
      <w:r w:rsidR="004403B0">
        <w:rPr>
          <w:b/>
          <w:bCs/>
        </w:rPr>
        <w:t xml:space="preserve"> celui de</w:t>
      </w:r>
      <w:r w:rsidR="00E00252" w:rsidRPr="00D04324">
        <w:rPr>
          <w:b/>
          <w:bCs/>
        </w:rPr>
        <w:t xml:space="preserve"> la qualité de l’offre de transport à long terme sur le territoire, et son corollaire</w:t>
      </w:r>
      <w:r w:rsidR="00E00252">
        <w:rPr>
          <w:b/>
          <w:bCs/>
        </w:rPr>
        <w:t>,</w:t>
      </w:r>
      <w:r w:rsidR="00E00252" w:rsidRPr="00D04324">
        <w:rPr>
          <w:b/>
          <w:bCs/>
        </w:rPr>
        <w:t xml:space="preserve"> le financement des infrastructures de transport</w:t>
      </w:r>
      <w:r w:rsidR="00E00252" w:rsidRPr="00846D28">
        <w:rPr>
          <w:b/>
          <w:bCs/>
        </w:rPr>
        <w:t>.</w:t>
      </w:r>
      <w:r w:rsidR="00E00252" w:rsidRPr="003B05CF">
        <w:t xml:space="preserve"> </w:t>
      </w:r>
      <w:r w:rsidR="00E00252" w:rsidRPr="00F667BB">
        <w:t>L</w:t>
      </w:r>
      <w:r w:rsidR="00E00252">
        <w:t>’investissement dans l</w:t>
      </w:r>
      <w:r w:rsidR="00E00252" w:rsidRPr="00F667BB">
        <w:t>es infrastructures est en effet un facteur déterminant de la qualité</w:t>
      </w:r>
      <w:r w:rsidR="00E00252">
        <w:t xml:space="preserve"> comme de l’efficacité</w:t>
      </w:r>
      <w:r w:rsidR="00E00252" w:rsidRPr="00F667BB">
        <w:t xml:space="preserve"> des transport, qu’il s’agisse de la sécurité, des temps de circulation et de la ponctualité des trains, de</w:t>
      </w:r>
      <w:r w:rsidR="001B7FC2">
        <w:t>s conditions de circulation sur les</w:t>
      </w:r>
      <w:r w:rsidR="00E00252" w:rsidRPr="00F667BB">
        <w:t xml:space="preserve"> autoroutes</w:t>
      </w:r>
      <w:r w:rsidR="00DC0893">
        <w:t>,</w:t>
      </w:r>
      <w:r w:rsidR="00801B29">
        <w:t xml:space="preserve"> </w:t>
      </w:r>
      <w:r w:rsidR="00E00252" w:rsidRPr="00F667BB">
        <w:t xml:space="preserve">de la qualité du service rendu aux </w:t>
      </w:r>
      <w:r w:rsidR="00E00252">
        <w:t>compagnies aériennes par l</w:t>
      </w:r>
      <w:r w:rsidR="00E00252" w:rsidRPr="00F667BB">
        <w:t>es aéroports ou de la couverture territoriale des services publics de transport. Il est également crucial pour accompagner la transition écologique du secteur. Cet enjeu</w:t>
      </w:r>
      <w:r w:rsidR="00E00252" w:rsidRPr="00F667BB" w:rsidDel="003B0902">
        <w:t xml:space="preserve"> </w:t>
      </w:r>
      <w:r w:rsidR="00E00252" w:rsidRPr="00F667BB">
        <w:t xml:space="preserve">suppose une réflexion globale et de long terme auquel le régulateur </w:t>
      </w:r>
      <w:r w:rsidR="007A7207">
        <w:t xml:space="preserve">économique </w:t>
      </w:r>
      <w:r w:rsidR="00E00252" w:rsidRPr="00F667BB">
        <w:t>des transports est à même de contribuer</w:t>
      </w:r>
      <w:r w:rsidR="00437709">
        <w:t xml:space="preserve"> </w:t>
      </w:r>
      <w:r w:rsidR="00E00252" w:rsidRPr="00F667BB">
        <w:t>aux côtés des autres acteurs du secteur.</w:t>
      </w:r>
    </w:p>
    <w:p w14:paraId="284D9E0A" w14:textId="4A9DC3F8" w:rsidR="00DB240F" w:rsidRPr="00DB240F" w:rsidRDefault="00DB240F" w:rsidP="007E5A81">
      <w:pPr>
        <w:pStyle w:val="Emphase"/>
      </w:pPr>
      <w:r w:rsidRPr="00DB240F">
        <w:t xml:space="preserve">…et </w:t>
      </w:r>
      <w:r>
        <w:t xml:space="preserve">contribuer à la </w:t>
      </w:r>
      <w:r w:rsidRPr="00DB240F">
        <w:t>qualité de service</w:t>
      </w:r>
      <w:r w:rsidR="003F7705">
        <w:t xml:space="preserve"> </w:t>
      </w:r>
    </w:p>
    <w:p w14:paraId="6BC1282C" w14:textId="25D8E37D" w:rsidR="00E00252" w:rsidRPr="00F667BB" w:rsidRDefault="00E00252" w:rsidP="00E00252">
      <w:r w:rsidRPr="00CE7C89">
        <w:rPr>
          <w:b/>
          <w:bCs/>
        </w:rPr>
        <w:t>Pour contribuer à la qualité du service proposé par les opérateurs de transports, au bénéfice des usag</w:t>
      </w:r>
      <w:r>
        <w:rPr>
          <w:b/>
          <w:bCs/>
        </w:rPr>
        <w:t>er</w:t>
      </w:r>
      <w:r w:rsidRPr="00CE7C89">
        <w:rPr>
          <w:b/>
          <w:bCs/>
        </w:rPr>
        <w:t xml:space="preserve">s, </w:t>
      </w:r>
      <w:r>
        <w:rPr>
          <w:b/>
          <w:bCs/>
        </w:rPr>
        <w:t>l’ART</w:t>
      </w:r>
      <w:r w:rsidRPr="00CE7C89">
        <w:rPr>
          <w:b/>
          <w:bCs/>
        </w:rPr>
        <w:t xml:space="preserve"> dispose de divers moyens d’action en faveur du développement d’une concurrence effective</w:t>
      </w:r>
      <w:r>
        <w:t xml:space="preserve"> </w:t>
      </w:r>
      <w:r>
        <w:rPr>
          <w:rFonts w:eastAsia="Calibri"/>
        </w:rPr>
        <w:t>sur le marché des services, notamment dans le secteur ferroviaire</w:t>
      </w:r>
      <w:r>
        <w:t xml:space="preserve">. Par ailleurs, elle est en mesure d’actionner deux leviers </w:t>
      </w:r>
      <w:r w:rsidR="00DB43DA">
        <w:t>spécifiques</w:t>
      </w:r>
      <w:r w:rsidR="00DB43DA" w:rsidRPr="00F667BB" w:rsidDel="00F96CFC">
        <w:t> </w:t>
      </w:r>
      <w:r w:rsidRPr="00F667BB">
        <w:t>:</w:t>
      </w:r>
    </w:p>
    <w:p w14:paraId="6C2F0E0D" w14:textId="4777745F" w:rsidR="00E00252" w:rsidRPr="00F667BB" w:rsidRDefault="00DB43DA" w:rsidP="00A7334B">
      <w:pPr>
        <w:pStyle w:val="Paragraphedeliste"/>
        <w:numPr>
          <w:ilvl w:val="0"/>
          <w:numId w:val="7"/>
        </w:numPr>
        <w:contextualSpacing w:val="0"/>
      </w:pPr>
      <w:r>
        <w:t xml:space="preserve">suivre </w:t>
      </w:r>
      <w:r w:rsidR="00265CBE">
        <w:t xml:space="preserve">les actions en faveur de </w:t>
      </w:r>
      <w:r w:rsidR="00E00252" w:rsidRPr="0010515B">
        <w:t>la</w:t>
      </w:r>
      <w:r w:rsidR="00E00252" w:rsidRPr="00F667BB">
        <w:t xml:space="preserve"> </w:t>
      </w:r>
      <w:r w:rsidR="00E00252" w:rsidRPr="0010515B">
        <w:t>qualité des infrastructures (renouvellement ou régénération, et modernisation)</w:t>
      </w:r>
      <w:r w:rsidR="00E00252" w:rsidRPr="00F667BB">
        <w:t xml:space="preserve">, notamment à travers </w:t>
      </w:r>
      <w:r w:rsidR="00265CBE">
        <w:t xml:space="preserve">l’examen </w:t>
      </w:r>
      <w:r w:rsidR="00E00252">
        <w:t xml:space="preserve">des moyens consacrés à </w:t>
      </w:r>
      <w:r w:rsidR="00E00252" w:rsidRPr="00F667BB">
        <w:t>leur financement</w:t>
      </w:r>
      <w:r w:rsidR="00F96CFC">
        <w:t xml:space="preserve"> </w:t>
      </w:r>
      <w:r w:rsidR="00F96CFC" w:rsidRPr="00FF13F4">
        <w:t>et d</w:t>
      </w:r>
      <w:r w:rsidR="00C86F68">
        <w:t xml:space="preserve">es </w:t>
      </w:r>
      <w:r w:rsidR="00F96CFC" w:rsidRPr="00FF13F4">
        <w:t>éclairage</w:t>
      </w:r>
      <w:r w:rsidR="00F96CFC">
        <w:t>s</w:t>
      </w:r>
      <w:r w:rsidR="00F96CFC" w:rsidRPr="00FF13F4">
        <w:t xml:space="preserve"> sur </w:t>
      </w:r>
      <w:r w:rsidR="00F96CFC">
        <w:t>les investissements envisagés</w:t>
      </w:r>
      <w:r w:rsidR="00E00252" w:rsidRPr="00F667BB">
        <w:t> ;</w:t>
      </w:r>
    </w:p>
    <w:p w14:paraId="643B027B" w14:textId="21EE1CEA" w:rsidR="00E00252" w:rsidRPr="008109F1" w:rsidRDefault="00256F91" w:rsidP="00A7334B">
      <w:pPr>
        <w:pStyle w:val="Paragraphedeliste"/>
        <w:numPr>
          <w:ilvl w:val="0"/>
          <w:numId w:val="7"/>
        </w:numPr>
        <w:contextualSpacing w:val="0"/>
      </w:pPr>
      <w:r w:rsidRPr="0010515B">
        <w:t>m</w:t>
      </w:r>
      <w:r w:rsidR="00E00252" w:rsidRPr="0010515B">
        <w:t xml:space="preserve">obiliser </w:t>
      </w:r>
      <w:r w:rsidR="00E6324F" w:rsidRPr="0010515B">
        <w:t>d</w:t>
      </w:r>
      <w:r w:rsidR="00E00252" w:rsidRPr="0010515B">
        <w:t xml:space="preserve">es outils incitatifs </w:t>
      </w:r>
      <w:r w:rsidR="00E6324F" w:rsidRPr="0010515B">
        <w:t>pour influencer</w:t>
      </w:r>
      <w:r w:rsidR="00E00252" w:rsidRPr="0010515B">
        <w:t xml:space="preserve"> la qualité du service</w:t>
      </w:r>
      <w:r w:rsidR="00801B29" w:rsidRPr="0010515B">
        <w:t xml:space="preserve"> fourni par les gestionnaires d’infrastructures essentielles</w:t>
      </w:r>
      <w:r w:rsidR="00E00252" w:rsidRPr="00F667BB">
        <w:t>.</w:t>
      </w:r>
    </w:p>
    <w:p w14:paraId="2729552A" w14:textId="77777777" w:rsidR="00F71048" w:rsidRDefault="00F71048" w:rsidP="00E00252">
      <w:pPr>
        <w:rPr>
          <w:b/>
          <w:bCs/>
        </w:rPr>
      </w:pPr>
    </w:p>
    <w:p w14:paraId="46DB08F7" w14:textId="77F5AE36" w:rsidR="00E00252" w:rsidRDefault="00E00252" w:rsidP="00E00252">
      <w:pPr>
        <w:rPr>
          <w:rFonts w:eastAsia="Calibri"/>
          <w:szCs w:val="21"/>
        </w:rPr>
      </w:pPr>
      <w:r w:rsidRPr="003415EB">
        <w:rPr>
          <w:b/>
          <w:bCs/>
        </w:rPr>
        <w:lastRenderedPageBreak/>
        <w:t xml:space="preserve">La mise en place d’une régulation incitant les gestionnaires d’infrastructures essentielles à une amélioration continue de leur performance apparaît </w:t>
      </w:r>
      <w:r>
        <w:rPr>
          <w:b/>
          <w:bCs/>
        </w:rPr>
        <w:t>ainsi</w:t>
      </w:r>
      <w:r w:rsidRPr="003415EB">
        <w:rPr>
          <w:b/>
          <w:bCs/>
        </w:rPr>
        <w:t xml:space="preserve"> incontournable.</w:t>
      </w:r>
      <w:r w:rsidRPr="009777AD">
        <w:t xml:space="preserve"> </w:t>
      </w:r>
      <w:r w:rsidRPr="007C36CA">
        <w:rPr>
          <w:rFonts w:eastAsia="Calibri"/>
          <w:szCs w:val="21"/>
        </w:rPr>
        <w:t xml:space="preserve">Le contrôle de la tarification opéré par l’ART va de pair avec </w:t>
      </w:r>
      <w:r w:rsidR="00140A7A">
        <w:rPr>
          <w:rFonts w:eastAsia="Calibri"/>
          <w:szCs w:val="21"/>
        </w:rPr>
        <w:t xml:space="preserve">le suivi de </w:t>
      </w:r>
      <w:r w:rsidRPr="007C36CA">
        <w:rPr>
          <w:rFonts w:eastAsia="Calibri"/>
          <w:szCs w:val="21"/>
        </w:rPr>
        <w:t xml:space="preserve">la performance des entités régulées </w:t>
      </w:r>
      <w:r w:rsidR="00140A7A">
        <w:rPr>
          <w:rFonts w:eastAsia="Calibri"/>
          <w:szCs w:val="21"/>
        </w:rPr>
        <w:t xml:space="preserve">afin notamment </w:t>
      </w:r>
      <w:r w:rsidRPr="007C36CA">
        <w:rPr>
          <w:rFonts w:eastAsia="Calibri"/>
          <w:szCs w:val="21"/>
        </w:rPr>
        <w:t xml:space="preserve">que le déploiement d’une infrastructure de qualité se fasse au meilleur coût. </w:t>
      </w:r>
    </w:p>
    <w:p w14:paraId="1F620A2F" w14:textId="1FDF59F6" w:rsidR="00FB4738" w:rsidRDefault="00B70035" w:rsidP="00FB4738">
      <w:r>
        <w:rPr>
          <w:noProof/>
        </w:rPr>
        <w:drawing>
          <wp:anchor distT="0" distB="0" distL="114300" distR="114300" simplePos="0" relativeHeight="251658244" behindDoc="0" locked="0" layoutInCell="1" allowOverlap="1" wp14:anchorId="51483177" wp14:editId="5109873E">
            <wp:simplePos x="0" y="0"/>
            <wp:positionH relativeFrom="margin">
              <wp:posOffset>4476750</wp:posOffset>
            </wp:positionH>
            <wp:positionV relativeFrom="paragraph">
              <wp:posOffset>1019810</wp:posOffset>
            </wp:positionV>
            <wp:extent cx="432000" cy="432000"/>
            <wp:effectExtent l="0" t="0" r="6350" b="0"/>
            <wp:wrapSquare wrapText="bothSides"/>
            <wp:docPr id="39" name="Graphique 39" descr="Main ouverte avec une plant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que 1" descr="Main ouverte avec une plante avec un remplissage uni"/>
                    <pic:cNvPicPr/>
                  </pic:nvPicPr>
                  <pic:blipFill>
                    <a:blip r:embed="rId12">
                      <a:extLst>
                        <a:ext uri="{96DAC541-7B7A-43D3-8B79-37D633B846F1}">
                          <asvg:svgBlip xmlns:asvg="http://schemas.microsoft.com/office/drawing/2016/SVG/main" r:embed="rId13"/>
                        </a:ext>
                      </a:extLst>
                    </a:blip>
                    <a:stretch>
                      <a:fillRect/>
                    </a:stretch>
                  </pic:blipFill>
                  <pic:spPr>
                    <a:xfrm>
                      <a:off x="0" y="0"/>
                      <a:ext cx="432000" cy="432000"/>
                    </a:xfrm>
                    <a:prstGeom prst="rect">
                      <a:avLst/>
                    </a:prstGeom>
                  </pic:spPr>
                </pic:pic>
              </a:graphicData>
            </a:graphic>
            <wp14:sizeRelH relativeFrom="margin">
              <wp14:pctWidth>0</wp14:pctWidth>
            </wp14:sizeRelH>
            <wp14:sizeRelV relativeFrom="margin">
              <wp14:pctHeight>0</wp14:pctHeight>
            </wp14:sizeRelV>
          </wp:anchor>
        </w:drawing>
      </w:r>
      <w:r w:rsidR="00FB4738" w:rsidRPr="007C36CA">
        <w:rPr>
          <w:b/>
          <w:bCs/>
        </w:rPr>
        <w:t xml:space="preserve">Il s’agira </w:t>
      </w:r>
      <w:r w:rsidR="00564E80">
        <w:rPr>
          <w:b/>
          <w:bCs/>
        </w:rPr>
        <w:t>ainsi</w:t>
      </w:r>
      <w:r w:rsidR="00FB4738" w:rsidRPr="007C36CA">
        <w:rPr>
          <w:b/>
          <w:bCs/>
        </w:rPr>
        <w:t xml:space="preserve"> d</w:t>
      </w:r>
      <w:r w:rsidR="00E6324F">
        <w:rPr>
          <w:b/>
          <w:bCs/>
        </w:rPr>
        <w:t xml:space="preserve">e mieux </w:t>
      </w:r>
      <w:r w:rsidR="00FB4738" w:rsidRPr="007C36CA">
        <w:rPr>
          <w:b/>
          <w:bCs/>
        </w:rPr>
        <w:t>asseoir, à l’avenir, le revenu autorisé des gestionnaires d’infrastructures essentielles sur les coûts d’un opérateur efficace</w:t>
      </w:r>
      <w:r w:rsidR="00673166">
        <w:rPr>
          <w:b/>
          <w:bCs/>
        </w:rPr>
        <w:t xml:space="preserve"> </w:t>
      </w:r>
      <w:r w:rsidR="00673166" w:rsidRPr="00A0068C">
        <w:t>– c’est-à-dire d’une entreprise gérée de manière performante –</w:t>
      </w:r>
      <w:r w:rsidR="00FB4738" w:rsidRPr="00673166">
        <w:t>,</w:t>
      </w:r>
      <w:r w:rsidR="00FB4738" w:rsidRPr="009777AD">
        <w:t xml:space="preserve"> grâce à une meilleure connaissance de ces coûts, et de mettre en place des dispositifs incitant à améliorer la qualité de service, </w:t>
      </w:r>
      <w:r w:rsidR="00673166">
        <w:t xml:space="preserve">par exemple </w:t>
      </w:r>
      <w:r w:rsidR="00FB4738" w:rsidRPr="009777AD">
        <w:t>au travers de systèmes de type bonus/malus</w:t>
      </w:r>
      <w:r w:rsidR="00801B29">
        <w:t>,</w:t>
      </w:r>
      <w:r w:rsidR="00FB4738" w:rsidRPr="009777AD">
        <w:t xml:space="preserve"> ou en </w:t>
      </w:r>
      <w:r w:rsidR="008E6082">
        <w:t xml:space="preserve">établissant des corrélations explicites entre niveaux de qualité de service donnés et coûts associés. </w:t>
      </w:r>
    </w:p>
    <w:p w14:paraId="101F6881" w14:textId="5A42ED1E" w:rsidR="00C87895" w:rsidRPr="00F667BB" w:rsidRDefault="00914ED2" w:rsidP="00B657BC">
      <w:pPr>
        <w:pStyle w:val="Titre2"/>
      </w:pPr>
      <w:bookmarkStart w:id="51" w:name="_Toc151550477"/>
      <w:bookmarkStart w:id="52" w:name="_Toc152196494"/>
      <w:bookmarkStart w:id="53" w:name="_Toc152245607"/>
      <w:bookmarkStart w:id="54" w:name="_Toc152245608"/>
      <w:bookmarkStart w:id="55" w:name="_Toc152245609"/>
      <w:bookmarkStart w:id="56" w:name="_Toc152245610"/>
      <w:bookmarkStart w:id="57" w:name="_Toc152245611"/>
      <w:bookmarkStart w:id="58" w:name="_Toc152245612"/>
      <w:bookmarkStart w:id="59" w:name="_Toc152245613"/>
      <w:bookmarkStart w:id="60" w:name="_Toc152245614"/>
      <w:bookmarkStart w:id="61" w:name="_Toc156394042"/>
      <w:bookmarkEnd w:id="51"/>
      <w:bookmarkEnd w:id="52"/>
      <w:bookmarkEnd w:id="53"/>
      <w:bookmarkEnd w:id="54"/>
      <w:bookmarkEnd w:id="55"/>
      <w:bookmarkEnd w:id="56"/>
      <w:bookmarkEnd w:id="57"/>
      <w:bookmarkEnd w:id="58"/>
      <w:bookmarkEnd w:id="59"/>
      <w:bookmarkEnd w:id="60"/>
      <w:r w:rsidRPr="00914ED2">
        <w:t xml:space="preserve">Inscrire la régulation des transports dans la transition </w:t>
      </w:r>
      <w:r>
        <w:t>é</w:t>
      </w:r>
      <w:r w:rsidRPr="00914ED2">
        <w:t>cologique</w:t>
      </w:r>
      <w:bookmarkEnd w:id="61"/>
    </w:p>
    <w:p w14:paraId="163315B5" w14:textId="7D8E12D6" w:rsidR="00B31DEC" w:rsidRDefault="004C3003" w:rsidP="00975F4F">
      <w:r w:rsidRPr="00F667BB">
        <w:rPr>
          <w:b/>
          <w:bCs/>
        </w:rPr>
        <w:t>Au vu des objectifs climatiques fixés aux niveaux européen et national et de la nécessité de s’adapter aux effets attendus du changement climatique, la transition écologique, dans ses deux dimensions (décarbonation et résilience)</w:t>
      </w:r>
      <w:r w:rsidR="00B52A20">
        <w:rPr>
          <w:b/>
          <w:bCs/>
        </w:rPr>
        <w:t xml:space="preserve"> est</w:t>
      </w:r>
      <w:r w:rsidRPr="00F667BB">
        <w:rPr>
          <w:b/>
          <w:bCs/>
        </w:rPr>
        <w:t xml:space="preserve"> </w:t>
      </w:r>
      <w:r w:rsidR="00B52A20">
        <w:rPr>
          <w:b/>
          <w:bCs/>
        </w:rPr>
        <w:t xml:space="preserve">un </w:t>
      </w:r>
      <w:r w:rsidRPr="00F667BB">
        <w:rPr>
          <w:b/>
          <w:bCs/>
        </w:rPr>
        <w:t>enjeu</w:t>
      </w:r>
      <w:r w:rsidR="00B52A20">
        <w:rPr>
          <w:b/>
          <w:bCs/>
        </w:rPr>
        <w:t xml:space="preserve"> central</w:t>
      </w:r>
      <w:r w:rsidRPr="00F667BB">
        <w:rPr>
          <w:b/>
          <w:bCs/>
        </w:rPr>
        <w:t xml:space="preserve">. </w:t>
      </w:r>
      <w:r w:rsidR="00566164" w:rsidRPr="001E218A">
        <w:t>L</w:t>
      </w:r>
      <w:r w:rsidRPr="00F667BB">
        <w:t>e secteur des transports est responsable de 30 % des émissions nationales de gaz à effet de serre (GES) et va en conséquence être fortement mis à contribution</w:t>
      </w:r>
      <w:r>
        <w:t xml:space="preserve"> pour la réalisation de </w:t>
      </w:r>
      <w:r w:rsidR="000D1642">
        <w:t>ces</w:t>
      </w:r>
      <w:r>
        <w:t xml:space="preserve"> objectif</w:t>
      </w:r>
      <w:r w:rsidR="000D1642">
        <w:t>s</w:t>
      </w:r>
      <w:r w:rsidR="00B31DEC">
        <w:t> :</w:t>
      </w:r>
    </w:p>
    <w:p w14:paraId="17DB5465" w14:textId="77777777" w:rsidR="00B31DEC" w:rsidRDefault="006E2072" w:rsidP="00E146A6">
      <w:pPr>
        <w:pStyle w:val="Paragraphedeliste"/>
        <w:numPr>
          <w:ilvl w:val="0"/>
          <w:numId w:val="19"/>
        </w:numPr>
        <w:ind w:left="714" w:hanging="357"/>
        <w:contextualSpacing w:val="0"/>
      </w:pPr>
      <w:r>
        <w:t>Au niveau européen, l’Union européenne s’est fixée</w:t>
      </w:r>
      <w:r w:rsidR="004C3003">
        <w:t xml:space="preserve"> pour objectif de réduire les émissions de gaz à effet de serre de 55 % d’ici 2030 par rapport au niveau de 1990 via le « Pacte</w:t>
      </w:r>
      <w:r>
        <w:t> </w:t>
      </w:r>
      <w:r w:rsidR="004C3003">
        <w:t xml:space="preserve">vert » </w:t>
      </w:r>
      <w:r w:rsidR="00673166">
        <w:t>–</w:t>
      </w:r>
      <w:r w:rsidR="004C3003">
        <w:t xml:space="preserve"> stratégie présentée le 11 décembre 2019 – et sa déclinaison législative que constitue le paquet « Fit for 55 »</w:t>
      </w:r>
      <w:r w:rsidR="004C3003">
        <w:rPr>
          <w:rStyle w:val="Appelnotedebasdep"/>
        </w:rPr>
        <w:footnoteReference w:id="7"/>
      </w:r>
      <w:r w:rsidR="004C3003">
        <w:t xml:space="preserve"> – présenté le 14 juillet 2021 par la Commission européenne</w:t>
      </w:r>
      <w:r w:rsidR="00B31DEC">
        <w:t> ;</w:t>
      </w:r>
    </w:p>
    <w:p w14:paraId="69BD014E" w14:textId="27621C75" w:rsidR="00673166" w:rsidRPr="00673166" w:rsidRDefault="004C3003" w:rsidP="00E146A6">
      <w:pPr>
        <w:pStyle w:val="Paragraphedeliste"/>
        <w:numPr>
          <w:ilvl w:val="0"/>
          <w:numId w:val="19"/>
        </w:numPr>
        <w:ind w:left="714" w:hanging="357"/>
        <w:contextualSpacing w:val="0"/>
      </w:pPr>
      <w:r>
        <w:t>Au niveau national, la</w:t>
      </w:r>
      <w:r w:rsidRPr="00F667BB">
        <w:t xml:space="preserve"> Stratégie nationale bas carbone (SNBC)</w:t>
      </w:r>
      <w:r w:rsidRPr="00F667BB">
        <w:rPr>
          <w:rStyle w:val="Appelnotedebasdep"/>
        </w:rPr>
        <w:footnoteReference w:id="8"/>
      </w:r>
      <w:r w:rsidRPr="00F667BB">
        <w:t xml:space="preserve"> prévoit l’atteinte d’une neutralité carbone complète pour le secteur à horizon 2050 et fixe également comme étape intermédiaire </w:t>
      </w:r>
      <w:r w:rsidRPr="00673166">
        <w:t>notable une réduction de 28 % des émissions en 2030 par rapport aux niveaux de 2015.</w:t>
      </w:r>
      <w:r w:rsidR="001D7982" w:rsidRPr="00673166">
        <w:t xml:space="preserve"> </w:t>
      </w:r>
    </w:p>
    <w:p w14:paraId="009F7A18" w14:textId="0E5D0227" w:rsidR="00C87895" w:rsidRDefault="00673166" w:rsidP="00975F4F">
      <w:r w:rsidRPr="00A0068C">
        <w:rPr>
          <w:b/>
          <w:bCs/>
        </w:rPr>
        <w:t>M</w:t>
      </w:r>
      <w:r w:rsidR="00876090" w:rsidRPr="00A0068C">
        <w:rPr>
          <w:b/>
          <w:bCs/>
        </w:rPr>
        <w:t xml:space="preserve">ême si </w:t>
      </w:r>
      <w:r w:rsidRPr="00A0068C">
        <w:rPr>
          <w:b/>
          <w:bCs/>
        </w:rPr>
        <w:t>la contribution à la transition écologique</w:t>
      </w:r>
      <w:r w:rsidR="00876090" w:rsidRPr="00A0068C">
        <w:rPr>
          <w:b/>
          <w:bCs/>
        </w:rPr>
        <w:t xml:space="preserve"> ne figure pas, </w:t>
      </w:r>
      <w:r w:rsidR="005D7462">
        <w:rPr>
          <w:b/>
          <w:bCs/>
        </w:rPr>
        <w:t>en tant que telle</w:t>
      </w:r>
      <w:r w:rsidR="00876090" w:rsidRPr="00A0068C">
        <w:rPr>
          <w:b/>
          <w:bCs/>
        </w:rPr>
        <w:t>, au cœur des missions qui</w:t>
      </w:r>
      <w:r w:rsidRPr="00A0068C">
        <w:rPr>
          <w:b/>
          <w:bCs/>
        </w:rPr>
        <w:t xml:space="preserve"> lui</w:t>
      </w:r>
      <w:r w:rsidR="00876090" w:rsidRPr="00A0068C">
        <w:rPr>
          <w:b/>
          <w:bCs/>
        </w:rPr>
        <w:t xml:space="preserve"> ont été confiées</w:t>
      </w:r>
      <w:r w:rsidRPr="00A0068C">
        <w:rPr>
          <w:b/>
          <w:bCs/>
        </w:rPr>
        <w:t xml:space="preserve"> </w:t>
      </w:r>
      <w:r w:rsidR="00876090" w:rsidRPr="00A0068C">
        <w:rPr>
          <w:b/>
          <w:bCs/>
        </w:rPr>
        <w:t>par le législateur</w:t>
      </w:r>
      <w:r w:rsidR="006E2072" w:rsidRPr="00A0068C">
        <w:rPr>
          <w:rStyle w:val="Appelnotedebasdep"/>
          <w:b/>
          <w:bCs/>
        </w:rPr>
        <w:footnoteReference w:id="9"/>
      </w:r>
      <w:r w:rsidRPr="00A0068C">
        <w:rPr>
          <w:b/>
          <w:bCs/>
        </w:rPr>
        <w:t>, l’ART contribue, par son action, à cet enjeu</w:t>
      </w:r>
      <w:r>
        <w:t>, notamment en favorisant le report modal de la route vers le fer</w:t>
      </w:r>
      <w:r w:rsidR="001D7050">
        <w:t>roviaire</w:t>
      </w:r>
      <w:r>
        <w:t xml:space="preserve"> pour le transport de voyageurs comme de marchandises.</w:t>
      </w:r>
    </w:p>
    <w:p w14:paraId="011BABB0" w14:textId="2AA7A38E" w:rsidR="007C2A22" w:rsidRPr="007C2A22" w:rsidRDefault="00673166" w:rsidP="007C2A22">
      <w:r>
        <w:rPr>
          <w:b/>
          <w:bCs/>
        </w:rPr>
        <w:t>Au-delà, i</w:t>
      </w:r>
      <w:r w:rsidR="00566164" w:rsidRPr="007C2A22">
        <w:rPr>
          <w:b/>
          <w:bCs/>
        </w:rPr>
        <w:t xml:space="preserve">l s’agit pour </w:t>
      </w:r>
      <w:r w:rsidR="006E2072">
        <w:rPr>
          <w:b/>
          <w:bCs/>
        </w:rPr>
        <w:t>l’ART</w:t>
      </w:r>
      <w:r w:rsidR="00566164" w:rsidRPr="007C2A22">
        <w:rPr>
          <w:b/>
          <w:bCs/>
        </w:rPr>
        <w:t xml:space="preserve"> d’accompagner la transition écologique en cohérence avec sa raison d’être</w:t>
      </w:r>
      <w:r w:rsidR="00566164" w:rsidRPr="00A0068C">
        <w:t>, à savoir contribuer au bon fonctionnement économique des secteurs du transport qu’elle régule.</w:t>
      </w:r>
      <w:r w:rsidR="00F112BC">
        <w:t xml:space="preserve"> Pour ce faire, elle </w:t>
      </w:r>
      <w:r w:rsidR="006D12AC">
        <w:t>pourrait</w:t>
      </w:r>
      <w:r w:rsidR="00F112BC">
        <w:t xml:space="preserve"> </w:t>
      </w:r>
      <w:r w:rsidR="007C2A22">
        <w:t xml:space="preserve">mobiliser </w:t>
      </w:r>
      <w:r w:rsidR="006D12AC">
        <w:t xml:space="preserve">plus intensément </w:t>
      </w:r>
      <w:r w:rsidR="007C2A22">
        <w:t>deux leviers de régulation classiques :</w:t>
      </w:r>
    </w:p>
    <w:p w14:paraId="1D961E90" w14:textId="226C3781" w:rsidR="007C2A22" w:rsidRDefault="00256F91" w:rsidP="00E146A6">
      <w:pPr>
        <w:pStyle w:val="Paragraphedeliste"/>
        <w:numPr>
          <w:ilvl w:val="0"/>
          <w:numId w:val="9"/>
        </w:numPr>
        <w:ind w:left="714" w:hanging="357"/>
        <w:contextualSpacing w:val="0"/>
      </w:pPr>
      <w:r w:rsidRPr="00B31DEC">
        <w:t>f</w:t>
      </w:r>
      <w:r w:rsidR="007C2A22" w:rsidRPr="00B31DEC">
        <w:t>avoriser l’intégration des externalités environnementales dans la tarification</w:t>
      </w:r>
      <w:r w:rsidR="007C2A22">
        <w:t xml:space="preserve"> des infrastructures et les décisions d’investissement ;</w:t>
      </w:r>
    </w:p>
    <w:p w14:paraId="7CCCE211" w14:textId="212838AF" w:rsidR="007C2A22" w:rsidRPr="00322294" w:rsidRDefault="00256F91" w:rsidP="00E146A6">
      <w:pPr>
        <w:pStyle w:val="Paragraphedeliste"/>
        <w:numPr>
          <w:ilvl w:val="0"/>
          <w:numId w:val="9"/>
        </w:numPr>
        <w:spacing w:after="0"/>
        <w:ind w:left="714" w:hanging="357"/>
        <w:contextualSpacing w:val="0"/>
      </w:pPr>
      <w:r w:rsidRPr="00B31DEC">
        <w:t>c</w:t>
      </w:r>
      <w:r w:rsidR="007C2A22" w:rsidRPr="00B31DEC">
        <w:t xml:space="preserve">ontribuer à une plus grande transparence </w:t>
      </w:r>
      <w:r w:rsidR="00DF2832">
        <w:t>de</w:t>
      </w:r>
      <w:r w:rsidR="007C2A22" w:rsidRPr="00B31DEC">
        <w:t xml:space="preserve"> l’impact environnemental</w:t>
      </w:r>
      <w:r w:rsidR="007C2A22">
        <w:t xml:space="preserve"> des secteurs, afin d’éclairer la décision publique et d’inciter les acteurs (entreprises de transport et usagers) à faire évoluer leurs pratiques.</w:t>
      </w:r>
    </w:p>
    <w:p w14:paraId="1232550A" w14:textId="052C4C25" w:rsidR="00F6578A" w:rsidRPr="00D02CD3" w:rsidRDefault="00B70035" w:rsidP="00B657BC">
      <w:pPr>
        <w:pStyle w:val="Titre2"/>
      </w:pPr>
      <w:bookmarkStart w:id="62" w:name="_Toc152245616"/>
      <w:bookmarkStart w:id="63" w:name="_Toc152245617"/>
      <w:bookmarkStart w:id="64" w:name="_Toc152245618"/>
      <w:bookmarkStart w:id="65" w:name="_Toc152245619"/>
      <w:bookmarkStart w:id="66" w:name="_Toc156394043"/>
      <w:bookmarkEnd w:id="62"/>
      <w:bookmarkEnd w:id="63"/>
      <w:bookmarkEnd w:id="64"/>
      <w:bookmarkEnd w:id="65"/>
      <w:r>
        <w:rPr>
          <w:noProof/>
        </w:rPr>
        <w:lastRenderedPageBreak/>
        <w:drawing>
          <wp:anchor distT="0" distB="0" distL="114300" distR="114300" simplePos="0" relativeHeight="251658248" behindDoc="0" locked="0" layoutInCell="1" allowOverlap="1" wp14:anchorId="4E321482" wp14:editId="3485BDF4">
            <wp:simplePos x="0" y="0"/>
            <wp:positionH relativeFrom="column">
              <wp:posOffset>4657670</wp:posOffset>
            </wp:positionH>
            <wp:positionV relativeFrom="paragraph">
              <wp:posOffset>4295</wp:posOffset>
            </wp:positionV>
            <wp:extent cx="432000" cy="432000"/>
            <wp:effectExtent l="0" t="0" r="6350" b="6350"/>
            <wp:wrapSquare wrapText="bothSides"/>
            <wp:docPr id="40" name="Graphique 40" descr="Produits chimiques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phique 35" descr="Produits chimiques avec un remplissage uni"/>
                    <pic:cNvPicPr/>
                  </pic:nvPicPr>
                  <pic:blipFill>
                    <a:blip r:embed="rId45">
                      <a:extLst>
                        <a:ext uri="{96DAC541-7B7A-43D3-8B79-37D633B846F1}">
                          <asvg:svgBlip xmlns:asvg="http://schemas.microsoft.com/office/drawing/2016/SVG/main" r:embed="rId46"/>
                        </a:ext>
                      </a:extLst>
                    </a:blip>
                    <a:stretch>
                      <a:fillRect/>
                    </a:stretch>
                  </pic:blipFill>
                  <pic:spPr>
                    <a:xfrm>
                      <a:off x="0" y="0"/>
                      <a:ext cx="432000" cy="432000"/>
                    </a:xfrm>
                    <a:prstGeom prst="rect">
                      <a:avLst/>
                    </a:prstGeom>
                  </pic:spPr>
                </pic:pic>
              </a:graphicData>
            </a:graphic>
          </wp:anchor>
        </w:drawing>
      </w:r>
      <w:r w:rsidR="003D3D70" w:rsidRPr="00D02CD3">
        <w:t xml:space="preserve">Développer une </w:t>
      </w:r>
      <w:r w:rsidR="001A3CF8" w:rsidRPr="00D02CD3">
        <w:t>approche</w:t>
      </w:r>
      <w:r w:rsidR="003D3D70" w:rsidRPr="00D02CD3">
        <w:t xml:space="preserve"> multimodale de la régulation économique</w:t>
      </w:r>
      <w:bookmarkEnd w:id="66"/>
    </w:p>
    <w:bookmarkEnd w:id="50"/>
    <w:p w14:paraId="38620DBB" w14:textId="5383BE96" w:rsidR="00725969" w:rsidRPr="007E5A81" w:rsidRDefault="00DB240F" w:rsidP="007E5A81">
      <w:pPr>
        <w:pStyle w:val="Emphase"/>
      </w:pPr>
      <w:r>
        <w:t xml:space="preserve">Réguler </w:t>
      </w:r>
      <w:r w:rsidR="00725969" w:rsidRPr="007E5A81">
        <w:t>au service de la mobilité</w:t>
      </w:r>
    </w:p>
    <w:p w14:paraId="073AC63B" w14:textId="5ACC4CBE" w:rsidR="00B31DEC" w:rsidRDefault="006E2072" w:rsidP="1027321C">
      <w:r>
        <w:rPr>
          <w:b/>
          <w:bCs/>
        </w:rPr>
        <w:t>L’ART</w:t>
      </w:r>
      <w:r w:rsidRPr="000D037D">
        <w:rPr>
          <w:b/>
          <w:bCs/>
        </w:rPr>
        <w:t xml:space="preserve"> </w:t>
      </w:r>
      <w:r>
        <w:rPr>
          <w:b/>
          <w:bCs/>
        </w:rPr>
        <w:t xml:space="preserve">devra veiller </w:t>
      </w:r>
      <w:r w:rsidR="00DF2832">
        <w:rPr>
          <w:b/>
          <w:bCs/>
        </w:rPr>
        <w:t xml:space="preserve">davantage encore </w:t>
      </w:r>
      <w:r w:rsidRPr="000D037D">
        <w:rPr>
          <w:b/>
          <w:bCs/>
        </w:rPr>
        <w:t>à inscrire son action de contrôle et de régulation dans une approche multimodale.</w:t>
      </w:r>
    </w:p>
    <w:p w14:paraId="2179B472" w14:textId="7946456C" w:rsidR="00B31DEC" w:rsidRDefault="003B0A2C" w:rsidP="1027321C">
      <w:pPr>
        <w:rPr>
          <w:rFonts w:eastAsia="Calibri"/>
        </w:rPr>
      </w:pPr>
      <w:r>
        <w:t>D</w:t>
      </w:r>
      <w:r w:rsidRPr="000D037D">
        <w:rPr>
          <w:rFonts w:eastAsia="Calibri"/>
        </w:rPr>
        <w:t xml:space="preserve">ans un contexte où la multimodalité </w:t>
      </w:r>
      <w:r w:rsidR="00265620">
        <w:rPr>
          <w:rFonts w:eastAsia="Calibri"/>
        </w:rPr>
        <w:t>constitue l’un</w:t>
      </w:r>
      <w:r w:rsidRPr="000D037D">
        <w:rPr>
          <w:rFonts w:eastAsia="Calibri"/>
        </w:rPr>
        <w:t xml:space="preserve"> </w:t>
      </w:r>
      <w:r>
        <w:rPr>
          <w:rFonts w:eastAsia="Calibri"/>
        </w:rPr>
        <w:t xml:space="preserve">des </w:t>
      </w:r>
      <w:r w:rsidRPr="000D037D">
        <w:rPr>
          <w:rFonts w:eastAsia="Calibri"/>
        </w:rPr>
        <w:t>pilier</w:t>
      </w:r>
      <w:r>
        <w:rPr>
          <w:rFonts w:eastAsia="Calibri"/>
        </w:rPr>
        <w:t>s</w:t>
      </w:r>
      <w:r w:rsidRPr="000D037D">
        <w:rPr>
          <w:rFonts w:eastAsia="Calibri"/>
        </w:rPr>
        <w:t xml:space="preserve"> de la transition écologique</w:t>
      </w:r>
      <w:r>
        <w:rPr>
          <w:rFonts w:eastAsia="Calibri"/>
        </w:rPr>
        <w:t xml:space="preserve">, </w:t>
      </w:r>
      <w:r w:rsidR="00A634A2">
        <w:rPr>
          <w:rFonts w:eastAsia="Calibri"/>
        </w:rPr>
        <w:t>une</w:t>
      </w:r>
      <w:r w:rsidRPr="000D037D">
        <w:rPr>
          <w:rFonts w:eastAsia="Calibri"/>
        </w:rPr>
        <w:t xml:space="preserve"> vision </w:t>
      </w:r>
      <w:r>
        <w:rPr>
          <w:rFonts w:eastAsia="Calibri"/>
        </w:rPr>
        <w:t>intégrée</w:t>
      </w:r>
      <w:r w:rsidRPr="000D037D">
        <w:rPr>
          <w:rFonts w:eastAsia="Calibri"/>
        </w:rPr>
        <w:t xml:space="preserve"> </w:t>
      </w:r>
      <w:r>
        <w:rPr>
          <w:rFonts w:eastAsia="Calibri"/>
        </w:rPr>
        <w:t>du secteur des transports est indispensable</w:t>
      </w:r>
      <w:r w:rsidR="00724DE4">
        <w:rPr>
          <w:rFonts w:eastAsia="Calibri"/>
        </w:rPr>
        <w:t xml:space="preserve"> pour réguler efficacement. </w:t>
      </w:r>
      <w:r w:rsidR="00100B79">
        <w:rPr>
          <w:rFonts w:eastAsia="Calibri"/>
        </w:rPr>
        <w:t xml:space="preserve">Agir sur </w:t>
      </w:r>
      <w:r w:rsidR="00A634A2">
        <w:rPr>
          <w:rFonts w:eastAsia="Calibri"/>
        </w:rPr>
        <w:t xml:space="preserve">un mode de </w:t>
      </w:r>
      <w:r w:rsidR="003B6AB6">
        <w:rPr>
          <w:rFonts w:eastAsia="Calibri"/>
        </w:rPr>
        <w:t>déplacement</w:t>
      </w:r>
      <w:r w:rsidR="00A634A2">
        <w:rPr>
          <w:rFonts w:eastAsia="Calibri"/>
        </w:rPr>
        <w:t xml:space="preserve"> </w:t>
      </w:r>
      <w:r w:rsidR="00724DE4">
        <w:rPr>
          <w:rFonts w:eastAsia="Calibri"/>
        </w:rPr>
        <w:t xml:space="preserve">peut </w:t>
      </w:r>
      <w:r w:rsidR="00B31DEC">
        <w:rPr>
          <w:rFonts w:eastAsia="Calibri"/>
        </w:rPr>
        <w:t xml:space="preserve">en effet </w:t>
      </w:r>
      <w:r w:rsidR="00724DE4">
        <w:rPr>
          <w:rFonts w:eastAsia="Calibri"/>
        </w:rPr>
        <w:t>avoir des conséquences sur l’ensemble du secteur des transports</w:t>
      </w:r>
      <w:r w:rsidR="00100B79">
        <w:rPr>
          <w:rFonts w:eastAsia="Calibri"/>
        </w:rPr>
        <w:t xml:space="preserve"> : évaluer correctement une action de régulation nécessite </w:t>
      </w:r>
      <w:r w:rsidR="009B5809">
        <w:rPr>
          <w:rFonts w:eastAsia="Calibri"/>
        </w:rPr>
        <w:t xml:space="preserve">donc </w:t>
      </w:r>
      <w:r w:rsidR="00100B79">
        <w:rPr>
          <w:rFonts w:eastAsia="Calibri"/>
        </w:rPr>
        <w:t xml:space="preserve">de comprendre </w:t>
      </w:r>
      <w:r w:rsidR="009B5809">
        <w:rPr>
          <w:rFonts w:eastAsia="Calibri"/>
        </w:rPr>
        <w:t>son impact</w:t>
      </w:r>
      <w:r w:rsidR="00100B79">
        <w:rPr>
          <w:rFonts w:eastAsia="Calibri"/>
        </w:rPr>
        <w:t xml:space="preserve"> sur la demande </w:t>
      </w:r>
      <w:r w:rsidR="00DF2832">
        <w:rPr>
          <w:rFonts w:eastAsia="Calibri"/>
        </w:rPr>
        <w:t xml:space="preserve">globale </w:t>
      </w:r>
      <w:r w:rsidR="00100B79">
        <w:rPr>
          <w:rFonts w:eastAsia="Calibri"/>
        </w:rPr>
        <w:t>de transport.</w:t>
      </w:r>
    </w:p>
    <w:p w14:paraId="7EA11369" w14:textId="7981C170" w:rsidR="00B31DEC" w:rsidRDefault="00100B79" w:rsidP="1027321C">
      <w:r>
        <w:rPr>
          <w:rFonts w:eastAsia="Calibri"/>
        </w:rPr>
        <w:t xml:space="preserve">Cela passe </w:t>
      </w:r>
      <w:r w:rsidR="009B5809">
        <w:rPr>
          <w:rFonts w:eastAsia="Calibri"/>
        </w:rPr>
        <w:t xml:space="preserve">en particulier </w:t>
      </w:r>
      <w:r>
        <w:rPr>
          <w:rFonts w:eastAsia="Calibri"/>
        </w:rPr>
        <w:t xml:space="preserve">par l’étude des </w:t>
      </w:r>
      <w:r w:rsidR="009B5809">
        <w:rPr>
          <w:rFonts w:eastAsia="Calibri"/>
        </w:rPr>
        <w:t>comportements</w:t>
      </w:r>
      <w:r w:rsidR="00ED41D1">
        <w:rPr>
          <w:rFonts w:eastAsia="Calibri"/>
        </w:rPr>
        <w:t xml:space="preserve"> en matière</w:t>
      </w:r>
      <w:r w:rsidR="009B5809">
        <w:rPr>
          <w:rFonts w:eastAsia="Calibri"/>
        </w:rPr>
        <w:t xml:space="preserve"> de </w:t>
      </w:r>
      <w:r>
        <w:rPr>
          <w:rFonts w:eastAsia="Calibri"/>
        </w:rPr>
        <w:t>choix de modes de transports</w:t>
      </w:r>
      <w:r w:rsidR="009B5809">
        <w:rPr>
          <w:rFonts w:eastAsia="Calibri"/>
        </w:rPr>
        <w:t xml:space="preserve"> (</w:t>
      </w:r>
      <w:r>
        <w:rPr>
          <w:rFonts w:eastAsia="Calibri"/>
        </w:rPr>
        <w:t>par exemple</w:t>
      </w:r>
      <w:r w:rsidR="000D1642">
        <w:rPr>
          <w:rFonts w:eastAsia="Calibri"/>
        </w:rPr>
        <w:t>,</w:t>
      </w:r>
      <w:r>
        <w:rPr>
          <w:rFonts w:eastAsia="Calibri"/>
        </w:rPr>
        <w:t xml:space="preserve"> en </w:t>
      </w:r>
      <w:r w:rsidR="009B5809">
        <w:rPr>
          <w:rFonts w:eastAsia="Calibri"/>
        </w:rPr>
        <w:t>analysant</w:t>
      </w:r>
      <w:r>
        <w:rPr>
          <w:rFonts w:eastAsia="Calibri"/>
        </w:rPr>
        <w:t xml:space="preserve"> les arbitrages des usagers entre prix et temps de parcours</w:t>
      </w:r>
      <w:r w:rsidRPr="00ED782C">
        <w:rPr>
          <w:rFonts w:eastAsia="Calibri"/>
        </w:rPr>
        <w:t>)</w:t>
      </w:r>
      <w:r w:rsidR="00E73C43">
        <w:rPr>
          <w:rFonts w:eastAsia="Calibri"/>
        </w:rPr>
        <w:t xml:space="preserve"> ou des analyses </w:t>
      </w:r>
      <w:r w:rsidR="00EC0233">
        <w:rPr>
          <w:rFonts w:eastAsia="Calibri"/>
        </w:rPr>
        <w:t>évaluant l’impact socio-économiques de différentes solutions de régulation</w:t>
      </w:r>
      <w:r>
        <w:rPr>
          <w:rFonts w:eastAsia="Calibri"/>
        </w:rPr>
        <w:t>.</w:t>
      </w:r>
    </w:p>
    <w:p w14:paraId="5622DEFF" w14:textId="70C98931" w:rsidR="006E2072" w:rsidRPr="001A3CF8" w:rsidRDefault="006E2072" w:rsidP="1027321C">
      <w:pPr>
        <w:rPr>
          <w:rFonts w:eastAsia="Calibri"/>
        </w:rPr>
      </w:pPr>
      <w:r w:rsidRPr="00491CC6" w:rsidDel="009B5809">
        <w:t xml:space="preserve">À ce titre, </w:t>
      </w:r>
      <w:r w:rsidRPr="000D037D">
        <w:t xml:space="preserve">la mission générale d’observation </w:t>
      </w:r>
      <w:r>
        <w:t xml:space="preserve">des secteurs </w:t>
      </w:r>
      <w:r w:rsidR="006D12AC">
        <w:t>régulés</w:t>
      </w:r>
      <w:r w:rsidR="009B5809">
        <w:t>,</w:t>
      </w:r>
      <w:r w:rsidRPr="000D037D">
        <w:t xml:space="preserve"> conférée </w:t>
      </w:r>
      <w:r w:rsidR="009B5809">
        <w:t xml:space="preserve">par </w:t>
      </w:r>
      <w:r w:rsidRPr="000D037D">
        <w:t>le législateur</w:t>
      </w:r>
      <w:r w:rsidR="009B5809">
        <w:t xml:space="preserve"> à l’A</w:t>
      </w:r>
      <w:r w:rsidR="0065353E">
        <w:t>RT</w:t>
      </w:r>
      <w:r w:rsidR="009B5809">
        <w:t xml:space="preserve">, est complémentaire à </w:t>
      </w:r>
      <w:r w:rsidR="00485709">
        <w:t xml:space="preserve">ses missions de régulation. Plus généralement, elle lui permet </w:t>
      </w:r>
      <w:r w:rsidR="00265620">
        <w:t>d’éclairer</w:t>
      </w:r>
      <w:r w:rsidR="00485709" w:rsidRPr="000D037D">
        <w:t xml:space="preserve"> la décision publique</w:t>
      </w:r>
      <w:r w:rsidR="00485709">
        <w:t xml:space="preserve"> sur le fonctionnement du secteur des transports, </w:t>
      </w:r>
      <w:r w:rsidR="00265620">
        <w:t>en ce qui concerne</w:t>
      </w:r>
      <w:r w:rsidR="00485709">
        <w:t xml:space="preserve"> la mobilité </w:t>
      </w:r>
      <w:r w:rsidR="00E73C43">
        <w:t xml:space="preserve">à la fois </w:t>
      </w:r>
      <w:r w:rsidR="00485709">
        <w:t>des personnes et des marchandises.</w:t>
      </w:r>
      <w:r w:rsidR="008B45A0">
        <w:rPr>
          <w:rFonts w:eastAsia="Calibri"/>
        </w:rPr>
        <w:t xml:space="preserve"> </w:t>
      </w:r>
    </w:p>
    <w:p w14:paraId="2609A807" w14:textId="3AF2C826" w:rsidR="00725969" w:rsidRPr="007E5A81" w:rsidRDefault="00B31DEC" w:rsidP="007E5A81">
      <w:pPr>
        <w:pStyle w:val="Emphase"/>
        <w:keepNext/>
      </w:pPr>
      <w:r>
        <w:t xml:space="preserve">Accompagner le développement des </w:t>
      </w:r>
      <w:r w:rsidRPr="001A3BD4">
        <w:t>s</w:t>
      </w:r>
      <w:r w:rsidRPr="007E5A81">
        <w:t>ervices numériques de mobilité</w:t>
      </w:r>
    </w:p>
    <w:p w14:paraId="12D1AEE9" w14:textId="3B884146" w:rsidR="008109F1" w:rsidRPr="008109F1" w:rsidRDefault="006E2072" w:rsidP="006E2072">
      <w:pPr>
        <w:keepNext/>
        <w:keepLines/>
      </w:pPr>
      <w:r>
        <w:rPr>
          <w:b/>
          <w:bCs/>
        </w:rPr>
        <w:t>L’ART</w:t>
      </w:r>
      <w:r w:rsidR="00340C9D" w:rsidRPr="00340C9D">
        <w:rPr>
          <w:b/>
          <w:bCs/>
        </w:rPr>
        <w:t xml:space="preserve"> contribue</w:t>
      </w:r>
      <w:r w:rsidR="00275744">
        <w:rPr>
          <w:b/>
          <w:bCs/>
        </w:rPr>
        <w:t xml:space="preserve"> par ailleurs</w:t>
      </w:r>
      <w:r w:rsidR="00340C9D" w:rsidRPr="00340C9D">
        <w:rPr>
          <w:b/>
          <w:bCs/>
        </w:rPr>
        <w:t xml:space="preserve"> au</w:t>
      </w:r>
      <w:r w:rsidR="00ED782C" w:rsidRPr="00340C9D">
        <w:rPr>
          <w:b/>
          <w:bCs/>
        </w:rPr>
        <w:t xml:space="preserve"> d</w:t>
      </w:r>
      <w:r w:rsidR="00F6578A" w:rsidRPr="00340C9D">
        <w:rPr>
          <w:b/>
          <w:bCs/>
        </w:rPr>
        <w:t>éveloppement de l’intermodalité</w:t>
      </w:r>
      <w:r w:rsidR="00340C9D" w:rsidRPr="00340C9D">
        <w:rPr>
          <w:b/>
          <w:bCs/>
        </w:rPr>
        <w:t xml:space="preserve"> en accompagnant le développement des services numériques de mobilité</w:t>
      </w:r>
      <w:r w:rsidR="00340C9D">
        <w:t xml:space="preserve"> </w:t>
      </w:r>
      <w:r w:rsidR="00340C9D" w:rsidRPr="008109F1">
        <w:t>dans leurs deux volets, information et billettique multimodales</w:t>
      </w:r>
      <w:r w:rsidR="00ED782C">
        <w:t>.</w:t>
      </w:r>
      <w:r w:rsidR="008109F1">
        <w:t xml:space="preserve"> </w:t>
      </w:r>
      <w:r w:rsidR="008109F1" w:rsidRPr="008109F1">
        <w:t>La régulation opérée par l’ART</w:t>
      </w:r>
      <w:r w:rsidR="008109F1">
        <w:t xml:space="preserve"> – qui </w:t>
      </w:r>
      <w:r w:rsidR="00FC7803">
        <w:t>doit</w:t>
      </w:r>
      <w:r w:rsidR="008109F1">
        <w:t xml:space="preserve"> permet</w:t>
      </w:r>
      <w:r w:rsidR="00FC7803">
        <w:t>tre</w:t>
      </w:r>
      <w:r w:rsidR="008109F1">
        <w:t xml:space="preserve"> de </w:t>
      </w:r>
      <w:r w:rsidR="008109F1" w:rsidRPr="008109F1">
        <w:t>favoriser l’intermodalité et, le cas échéant, le report modal, ainsi que les comparaisons de prix entre services de transport</w:t>
      </w:r>
      <w:r w:rsidR="00275744">
        <w:t> </w:t>
      </w:r>
      <w:r w:rsidR="008109F1">
        <w:t xml:space="preserve">– </w:t>
      </w:r>
      <w:r w:rsidR="008109F1" w:rsidRPr="008109F1">
        <w:t xml:space="preserve">s’articule autour de deux volets : </w:t>
      </w:r>
    </w:p>
    <w:p w14:paraId="112FE50F" w14:textId="7F216DEC" w:rsidR="008109F1" w:rsidRDefault="00256F91" w:rsidP="00A7334B">
      <w:pPr>
        <w:pStyle w:val="Paragraphedeliste"/>
        <w:numPr>
          <w:ilvl w:val="0"/>
          <w:numId w:val="10"/>
        </w:numPr>
      </w:pPr>
      <w:r>
        <w:t>l</w:t>
      </w:r>
      <w:r w:rsidR="008109F1" w:rsidRPr="008109F1">
        <w:t xml:space="preserve">e contrôle de la qualité des données de mobilité mises à la disposition des utilisateurs </w:t>
      </w:r>
      <w:r w:rsidR="005B4787">
        <w:t xml:space="preserve">(fiabilité, neutralité, mise à jour) </w:t>
      </w:r>
      <w:r w:rsidR="008109F1" w:rsidRPr="008109F1">
        <w:t>doit contribuer à favoriser le déploiement de services d’information multimodale (calculateurs d’itinéraires), permettant à l’utilisateur final de connaître les différents itinéraires possibles, les modes disponibles et leurs éventuelles combinaisons, et ainsi planifier plus facilement ses trajets ;</w:t>
      </w:r>
    </w:p>
    <w:p w14:paraId="75731DB4" w14:textId="77777777" w:rsidR="008109F1" w:rsidRPr="008109F1" w:rsidRDefault="008109F1" w:rsidP="008109F1">
      <w:pPr>
        <w:pStyle w:val="Paragraphedeliste"/>
      </w:pPr>
    </w:p>
    <w:p w14:paraId="5C477781" w14:textId="6AA90291" w:rsidR="006E2072" w:rsidRPr="008109F1" w:rsidRDefault="00256F91" w:rsidP="00A7334B">
      <w:pPr>
        <w:pStyle w:val="Paragraphedeliste"/>
        <w:numPr>
          <w:ilvl w:val="0"/>
          <w:numId w:val="10"/>
        </w:numPr>
      </w:pPr>
      <w:r>
        <w:t>l</w:t>
      </w:r>
      <w:r w:rsidR="006E2072" w:rsidRPr="008109F1">
        <w:t xml:space="preserve">e contrôle du respect des </w:t>
      </w:r>
      <w:r w:rsidR="006E2072">
        <w:t>obligations relatives à l’ouverture</w:t>
      </w:r>
      <w:r w:rsidR="006E2072" w:rsidRPr="008109F1">
        <w:t xml:space="preserve"> des services numériques </w:t>
      </w:r>
      <w:r w:rsidR="006E2072">
        <w:t>de vente</w:t>
      </w:r>
      <w:r w:rsidR="006E2072" w:rsidRPr="008109F1">
        <w:t xml:space="preserve"> (SN</w:t>
      </w:r>
      <w:r w:rsidR="006E2072">
        <w:t>V</w:t>
      </w:r>
      <w:r w:rsidR="006E2072" w:rsidRPr="008109F1">
        <w:t xml:space="preserve">), afin de faciliter </w:t>
      </w:r>
      <w:r w:rsidR="005B4787">
        <w:t>la recherche</w:t>
      </w:r>
      <w:r w:rsidR="005B4787" w:rsidRPr="008109F1">
        <w:t xml:space="preserve"> </w:t>
      </w:r>
      <w:r w:rsidR="006E2072" w:rsidRPr="008109F1">
        <w:t>de solutions de billettique numérique multimodale</w:t>
      </w:r>
      <w:r w:rsidR="006E2072">
        <w:t xml:space="preserve"> (services numériques multimodaux)</w:t>
      </w:r>
      <w:r w:rsidR="006E2072" w:rsidRPr="008109F1">
        <w:t>.</w:t>
      </w:r>
    </w:p>
    <w:p w14:paraId="6C87CDBA" w14:textId="21544251" w:rsidR="00B31DEC" w:rsidRPr="007E5A81" w:rsidRDefault="00B31DEC" w:rsidP="007E5A81">
      <w:pPr>
        <w:pStyle w:val="Emphase"/>
      </w:pPr>
      <w:r w:rsidRPr="00B31DEC">
        <w:t>Cohérence et transparence</w:t>
      </w:r>
      <w:r w:rsidR="0040607E">
        <w:t xml:space="preserve"> </w:t>
      </w:r>
      <w:r w:rsidR="00DB240F" w:rsidRPr="007E5A81">
        <w:t>pour l’écosystème</w:t>
      </w:r>
    </w:p>
    <w:p w14:paraId="6F1275A8" w14:textId="70D463F1" w:rsidR="006E2072" w:rsidRPr="003415EB" w:rsidRDefault="006E2072" w:rsidP="006E2072">
      <w:r w:rsidRPr="00A10D4E">
        <w:rPr>
          <w:b/>
          <w:bCs/>
        </w:rPr>
        <w:t xml:space="preserve">La consolidation de l’action de l’ART nécessite </w:t>
      </w:r>
      <w:r w:rsidR="00645DBC">
        <w:rPr>
          <w:b/>
          <w:bCs/>
        </w:rPr>
        <w:t>de renforcer</w:t>
      </w:r>
      <w:r w:rsidRPr="00A10D4E">
        <w:rPr>
          <w:b/>
          <w:bCs/>
        </w:rPr>
        <w:t xml:space="preserve"> </w:t>
      </w:r>
      <w:r w:rsidR="00645DBC">
        <w:rPr>
          <w:b/>
          <w:bCs/>
        </w:rPr>
        <w:t>l’</w:t>
      </w:r>
      <w:r w:rsidRPr="00A10D4E">
        <w:rPr>
          <w:b/>
          <w:bCs/>
        </w:rPr>
        <w:t xml:space="preserve">harmonisation </w:t>
      </w:r>
      <w:r>
        <w:rPr>
          <w:b/>
          <w:bCs/>
        </w:rPr>
        <w:t>de la régulation des transports</w:t>
      </w:r>
      <w:r w:rsidRPr="00B6279A">
        <w:t xml:space="preserve">, tout en tenant compte </w:t>
      </w:r>
      <w:r>
        <w:t xml:space="preserve">de la structure </w:t>
      </w:r>
      <w:r w:rsidRPr="00B6279A">
        <w:t xml:space="preserve">et </w:t>
      </w:r>
      <w:r>
        <w:t xml:space="preserve">des </w:t>
      </w:r>
      <w:r w:rsidRPr="00B6279A">
        <w:t xml:space="preserve">problématiques économiques </w:t>
      </w:r>
      <w:r>
        <w:t xml:space="preserve">de </w:t>
      </w:r>
      <w:r w:rsidRPr="00B6279A">
        <w:t>chaque secteur</w:t>
      </w:r>
      <w:r w:rsidRPr="00A10D4E">
        <w:rPr>
          <w:b/>
          <w:bCs/>
        </w:rPr>
        <w:t>.</w:t>
      </w:r>
      <w:r>
        <w:t xml:space="preserve"> Cette plus grande cohérence </w:t>
      </w:r>
      <w:r w:rsidRPr="00A10D4E">
        <w:t>concerne</w:t>
      </w:r>
      <w:r w:rsidR="006D12AC">
        <w:t>,</w:t>
      </w:r>
      <w:r>
        <w:t xml:space="preserve"> d’une part</w:t>
      </w:r>
      <w:r w:rsidR="006D12AC">
        <w:t>,</w:t>
      </w:r>
      <w:r>
        <w:t xml:space="preserve"> les pouvoirs et </w:t>
      </w:r>
      <w:r w:rsidR="00CE14C3">
        <w:t xml:space="preserve">les </w:t>
      </w:r>
      <w:r w:rsidRPr="003415EB">
        <w:t>compétences de l’ART, d’un point de vue législatif</w:t>
      </w:r>
      <w:r>
        <w:t xml:space="preserve"> et réglementaire</w:t>
      </w:r>
      <w:r w:rsidRPr="003415EB">
        <w:t xml:space="preserve">, </w:t>
      </w:r>
      <w:r>
        <w:t xml:space="preserve">d’autre part, </w:t>
      </w:r>
      <w:r w:rsidRPr="003415EB">
        <w:t>la doctrine économique et les pratiques régulatoires</w:t>
      </w:r>
      <w:r>
        <w:t xml:space="preserve"> (partage des risques, niveau de rémunération, etc.)</w:t>
      </w:r>
      <w:r w:rsidRPr="003415EB">
        <w:t>.</w:t>
      </w:r>
    </w:p>
    <w:p w14:paraId="0D8283D5" w14:textId="1DCEE5B9" w:rsidR="003312F6" w:rsidRPr="00FC04AB" w:rsidRDefault="003312F6" w:rsidP="00FC04AB">
      <w:pPr>
        <w:spacing w:before="0" w:after="0" w:line="280" w:lineRule="atLeast"/>
        <w:jc w:val="left"/>
      </w:pPr>
    </w:p>
    <w:sectPr w:rsidR="003312F6" w:rsidRPr="00FC04AB" w:rsidSect="004B782A">
      <w:footerReference w:type="default" r:id="rId53"/>
      <w:headerReference w:type="first" r:id="rId54"/>
      <w:footerReference w:type="first" r:id="rId55"/>
      <w:pgSz w:w="11906" w:h="16838" w:code="9"/>
      <w:pgMar w:top="1418" w:right="1418" w:bottom="993" w:left="1418" w:header="709" w:footer="3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BE589" w14:textId="77777777" w:rsidR="00364A6B" w:rsidRDefault="00364A6B" w:rsidP="00FC7E86">
      <w:pPr>
        <w:spacing w:before="0" w:after="0"/>
      </w:pPr>
      <w:r>
        <w:separator/>
      </w:r>
    </w:p>
  </w:endnote>
  <w:endnote w:type="continuationSeparator" w:id="0">
    <w:p w14:paraId="7D867C8B" w14:textId="77777777" w:rsidR="00364A6B" w:rsidRDefault="00364A6B" w:rsidP="00FC7E86">
      <w:pPr>
        <w:spacing w:before="0" w:after="0"/>
      </w:pPr>
      <w:r>
        <w:continuationSeparator/>
      </w:r>
    </w:p>
  </w:endnote>
  <w:endnote w:type="continuationNotice" w:id="1">
    <w:p w14:paraId="5688F628" w14:textId="77777777" w:rsidR="00364A6B" w:rsidRDefault="00364A6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Roboto">
    <w:panose1 w:val="00000000000000000000"/>
    <w:charset w:val="00"/>
    <w:family w:val="auto"/>
    <w:pitch w:val="variable"/>
    <w:sig w:usb0="E00002E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oboto Medium">
    <w:panose1 w:val="00000000000000000000"/>
    <w:charset w:val="00"/>
    <w:family w:val="auto"/>
    <w:pitch w:val="variable"/>
    <w:sig w:usb0="E0000AFF" w:usb1="5000217F" w:usb2="00000021" w:usb3="00000000" w:csb0="0000019F" w:csb1="00000000"/>
  </w:font>
  <w:font w:name="Liberation Sans">
    <w:altName w:val="Arial"/>
    <w:charset w:val="00"/>
    <w:family w:val="swiss"/>
    <w:pitch w:val="variable"/>
    <w:sig w:usb0="00000001" w:usb1="5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Thin">
    <w:panose1 w:val="00000000000000000000"/>
    <w:charset w:val="00"/>
    <w:family w:val="auto"/>
    <w:pitch w:val="variable"/>
    <w:sig w:usb0="E0000AFF" w:usb1="5000217F" w:usb2="00000021" w:usb3="00000000" w:csb0="0000019F" w:csb1="00000000"/>
  </w:font>
  <w:font w:name="Roboto Lt">
    <w:panose1 w:val="00000000000000000000"/>
    <w:charset w:val="00"/>
    <w:family w:val="auto"/>
    <w:pitch w:val="variable"/>
    <w:sig w:usb0="E00002E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89F3A" w14:textId="77777777" w:rsidR="003D1E27" w:rsidRPr="00024ED3" w:rsidRDefault="003D1E27" w:rsidP="00E077BD">
    <w:pPr>
      <w:pStyle w:val="Pieddepage"/>
      <w:spacing w:before="0" w:after="0"/>
      <w:ind w:left="142"/>
      <w:rPr>
        <w:rFonts w:eastAsia="Roboto Lt" w:hAnsi="Roboto Lt" w:cs="Roboto Lt"/>
        <w:b/>
        <w:color w:val="000000" w:themeColor="text1"/>
        <w:sz w:val="16"/>
        <w:szCs w:val="22"/>
        <w:lang w:bidi="fr-FR"/>
      </w:rPr>
    </w:pPr>
  </w:p>
  <w:p w14:paraId="3AA144D8" w14:textId="71A4EAB5" w:rsidR="003D1E27" w:rsidRPr="009B60B9" w:rsidRDefault="003D1E27" w:rsidP="00E077BD">
    <w:pPr>
      <w:pStyle w:val="Pieddepage"/>
      <w:spacing w:before="0" w:after="0"/>
      <w:ind w:left="142"/>
      <w:rPr>
        <w:rFonts w:eastAsia="Franklin Gothic Book"/>
        <w:sz w:val="16"/>
        <w:szCs w:val="16"/>
      </w:rPr>
    </w:pPr>
    <w:r w:rsidRPr="009B60B9">
      <w:rPr>
        <w:rFonts w:eastAsia="Roboto Lt" w:cs="Roboto Lt"/>
        <w:b/>
        <w:color w:val="223C75"/>
        <w:sz w:val="16"/>
        <w:szCs w:val="22"/>
        <w:lang w:bidi="fr-FR"/>
      </w:rPr>
      <w:t xml:space="preserve">autorite-transports.fr                                                                                                                                                                             </w:t>
    </w:r>
    <w:r w:rsidRPr="009B60B9">
      <w:rPr>
        <w:rFonts w:eastAsia="Roboto Lt" w:cs="Roboto Lt"/>
        <w:b/>
        <w:color w:val="223C75"/>
        <w:sz w:val="16"/>
        <w:szCs w:val="22"/>
        <w:lang w:bidi="fr-FR"/>
      </w:rPr>
      <w:tab/>
    </w:r>
    <w:r w:rsidRPr="009B60B9">
      <w:rPr>
        <w:rFonts w:eastAsia="Franklin Gothic Book"/>
        <w:sz w:val="16"/>
        <w:szCs w:val="16"/>
      </w:rPr>
      <w:fldChar w:fldCharType="begin"/>
    </w:r>
    <w:r w:rsidRPr="009B60B9">
      <w:rPr>
        <w:rFonts w:eastAsia="Franklin Gothic Book"/>
        <w:sz w:val="16"/>
        <w:szCs w:val="16"/>
      </w:rPr>
      <w:instrText>PAGE  \* Arabic  \* MERGEFORMAT</w:instrText>
    </w:r>
    <w:r w:rsidRPr="009B60B9">
      <w:rPr>
        <w:rFonts w:eastAsia="Franklin Gothic Book"/>
        <w:sz w:val="16"/>
        <w:szCs w:val="16"/>
      </w:rPr>
      <w:fldChar w:fldCharType="separate"/>
    </w:r>
    <w:r w:rsidRPr="009B60B9">
      <w:rPr>
        <w:rFonts w:eastAsia="Franklin Gothic Book"/>
        <w:sz w:val="16"/>
        <w:szCs w:val="16"/>
      </w:rPr>
      <w:t>1</w:t>
    </w:r>
    <w:r w:rsidRPr="009B60B9">
      <w:rPr>
        <w:rFonts w:eastAsia="Franklin Gothic Book"/>
        <w:sz w:val="16"/>
        <w:szCs w:val="16"/>
      </w:rPr>
      <w:fldChar w:fldCharType="end"/>
    </w:r>
    <w:r w:rsidR="00E74E8F">
      <w:rPr>
        <w:rFonts w:eastAsia="Franklin Gothic Book"/>
        <w:sz w:val="16"/>
        <w:szCs w:val="16"/>
      </w:rPr>
      <w:t xml:space="preserve"> </w:t>
    </w:r>
    <w:r w:rsidRPr="009B60B9">
      <w:rPr>
        <w:rFonts w:eastAsia="Franklin Gothic Book"/>
        <w:sz w:val="16"/>
        <w:szCs w:val="16"/>
      </w:rPr>
      <w:t xml:space="preserve">/ </w:t>
    </w:r>
    <w:r w:rsidRPr="009B60B9">
      <w:rPr>
        <w:rFonts w:eastAsia="Franklin Gothic Book"/>
        <w:sz w:val="16"/>
        <w:szCs w:val="16"/>
      </w:rPr>
      <w:fldChar w:fldCharType="begin"/>
    </w:r>
    <w:r w:rsidRPr="009B60B9">
      <w:rPr>
        <w:rFonts w:eastAsia="Franklin Gothic Book"/>
        <w:sz w:val="16"/>
        <w:szCs w:val="16"/>
      </w:rPr>
      <w:instrText>NUMPAGES  \* Arabic  \* MERGEFORMAT</w:instrText>
    </w:r>
    <w:r w:rsidRPr="009B60B9">
      <w:rPr>
        <w:rFonts w:eastAsia="Franklin Gothic Book"/>
        <w:sz w:val="16"/>
        <w:szCs w:val="16"/>
      </w:rPr>
      <w:fldChar w:fldCharType="separate"/>
    </w:r>
    <w:r w:rsidRPr="009B60B9">
      <w:rPr>
        <w:rFonts w:eastAsia="Franklin Gothic Book"/>
        <w:sz w:val="16"/>
        <w:szCs w:val="16"/>
      </w:rPr>
      <w:t>8</w:t>
    </w:r>
    <w:r w:rsidRPr="009B60B9">
      <w:rPr>
        <w:rFonts w:eastAsia="Franklin Gothic Book"/>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5F1CA" w14:textId="77777777" w:rsidR="003D1E27" w:rsidRPr="009B60B9" w:rsidRDefault="003D1E27" w:rsidP="00FA1559">
    <w:pPr>
      <w:pStyle w:val="Pieddepage"/>
      <w:spacing w:before="0" w:after="0"/>
      <w:ind w:left="142"/>
      <w:rPr>
        <w:rFonts w:eastAsia="Franklin Gothic Book"/>
        <w:sz w:val="16"/>
        <w:szCs w:val="16"/>
      </w:rPr>
    </w:pPr>
    <w:r w:rsidRPr="009B60B9">
      <w:rPr>
        <w:rFonts w:eastAsia="Roboto Lt" w:cs="Roboto Lt"/>
        <w:b/>
        <w:color w:val="223C75"/>
        <w:sz w:val="16"/>
        <w:szCs w:val="22"/>
        <w:lang w:bidi="fr-FR"/>
      </w:rPr>
      <w:t xml:space="preserve">autorite-transports.fr                                                                                                                                                                              </w:t>
    </w:r>
    <w:r w:rsidRPr="009B60B9">
      <w:rPr>
        <w:rFonts w:eastAsia="Roboto Lt" w:cs="Roboto Lt"/>
        <w:b/>
        <w:color w:val="223C75"/>
        <w:sz w:val="16"/>
        <w:szCs w:val="22"/>
        <w:lang w:bidi="fr-FR"/>
      </w:rPr>
      <w:tab/>
    </w:r>
    <w:r w:rsidRPr="009B60B9">
      <w:rPr>
        <w:rFonts w:eastAsia="Franklin Gothic Book"/>
        <w:sz w:val="16"/>
        <w:szCs w:val="16"/>
      </w:rPr>
      <w:fldChar w:fldCharType="begin"/>
    </w:r>
    <w:r w:rsidRPr="009B60B9">
      <w:rPr>
        <w:rFonts w:eastAsia="Franklin Gothic Book"/>
        <w:sz w:val="16"/>
        <w:szCs w:val="16"/>
      </w:rPr>
      <w:instrText>PAGE  \* Arabic  \* MERGEFORMAT</w:instrText>
    </w:r>
    <w:r w:rsidRPr="009B60B9">
      <w:rPr>
        <w:rFonts w:eastAsia="Franklin Gothic Book"/>
        <w:sz w:val="16"/>
        <w:szCs w:val="16"/>
      </w:rPr>
      <w:fldChar w:fldCharType="separate"/>
    </w:r>
    <w:r w:rsidRPr="009B60B9">
      <w:rPr>
        <w:rFonts w:eastAsia="Franklin Gothic Book"/>
        <w:sz w:val="16"/>
        <w:szCs w:val="16"/>
      </w:rPr>
      <w:t>1</w:t>
    </w:r>
    <w:r w:rsidRPr="009B60B9">
      <w:rPr>
        <w:rFonts w:eastAsia="Franklin Gothic Book"/>
        <w:sz w:val="16"/>
        <w:szCs w:val="16"/>
      </w:rPr>
      <w:fldChar w:fldCharType="end"/>
    </w:r>
    <w:r w:rsidRPr="009B60B9">
      <w:rPr>
        <w:rFonts w:eastAsia="Franklin Gothic Book"/>
        <w:sz w:val="16"/>
        <w:szCs w:val="16"/>
      </w:rPr>
      <w:t xml:space="preserve"> / </w:t>
    </w:r>
    <w:r w:rsidRPr="009B60B9">
      <w:rPr>
        <w:rFonts w:eastAsia="Franklin Gothic Book"/>
        <w:sz w:val="16"/>
        <w:szCs w:val="16"/>
      </w:rPr>
      <w:fldChar w:fldCharType="begin"/>
    </w:r>
    <w:r w:rsidRPr="009B60B9">
      <w:rPr>
        <w:rFonts w:eastAsia="Franklin Gothic Book"/>
        <w:sz w:val="16"/>
        <w:szCs w:val="16"/>
      </w:rPr>
      <w:instrText>NUMPAGES  \* Arabic  \* MERGEFORMAT</w:instrText>
    </w:r>
    <w:r w:rsidRPr="009B60B9">
      <w:rPr>
        <w:rFonts w:eastAsia="Franklin Gothic Book"/>
        <w:sz w:val="16"/>
        <w:szCs w:val="16"/>
      </w:rPr>
      <w:fldChar w:fldCharType="separate"/>
    </w:r>
    <w:r w:rsidRPr="009B60B9">
      <w:rPr>
        <w:rFonts w:eastAsia="Franklin Gothic Book"/>
        <w:sz w:val="16"/>
        <w:szCs w:val="16"/>
      </w:rPr>
      <w:t>2</w:t>
    </w:r>
    <w:r w:rsidRPr="009B60B9">
      <w:rPr>
        <w:rFonts w:eastAsia="Franklin Gothic Book"/>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DF420" w14:textId="77777777" w:rsidR="00364A6B" w:rsidRDefault="00364A6B" w:rsidP="00FC7E86">
      <w:pPr>
        <w:spacing w:before="0" w:after="0"/>
      </w:pPr>
      <w:r>
        <w:separator/>
      </w:r>
    </w:p>
  </w:footnote>
  <w:footnote w:type="continuationSeparator" w:id="0">
    <w:p w14:paraId="3E7F2AD0" w14:textId="77777777" w:rsidR="00364A6B" w:rsidRDefault="00364A6B" w:rsidP="00FC7E86">
      <w:pPr>
        <w:spacing w:before="0" w:after="0"/>
      </w:pPr>
      <w:r>
        <w:continuationSeparator/>
      </w:r>
    </w:p>
  </w:footnote>
  <w:footnote w:type="continuationNotice" w:id="1">
    <w:p w14:paraId="4AC0C276" w14:textId="77777777" w:rsidR="00364A6B" w:rsidRDefault="00364A6B">
      <w:pPr>
        <w:spacing w:before="0" w:after="0"/>
      </w:pPr>
    </w:p>
  </w:footnote>
  <w:footnote w:id="2">
    <w:p w14:paraId="4DC2F368" w14:textId="094B0908" w:rsidR="00364642" w:rsidRDefault="00364642">
      <w:pPr>
        <w:pStyle w:val="Notedebasdepage"/>
      </w:pPr>
      <w:r>
        <w:rPr>
          <w:rStyle w:val="Appelnotedebasdep"/>
        </w:rPr>
        <w:footnoteRef/>
      </w:r>
      <w:r>
        <w:t xml:space="preserve"> </w:t>
      </w:r>
      <w:r w:rsidR="0016072B">
        <w:t xml:space="preserve">Voir la </w:t>
      </w:r>
      <w:hyperlink r:id="rId1" w:history="1">
        <w:r w:rsidRPr="00534721">
          <w:rPr>
            <w:rStyle w:val="Lienhypertexte"/>
          </w:rPr>
          <w:t>S</w:t>
        </w:r>
        <w:r w:rsidR="0016072B">
          <w:rPr>
            <w:rStyle w:val="Lienhypertexte"/>
          </w:rPr>
          <w:t xml:space="preserve">tratégie </w:t>
        </w:r>
        <w:r w:rsidRPr="00534721">
          <w:rPr>
            <w:rStyle w:val="Lienhypertexte"/>
          </w:rPr>
          <w:t>N</w:t>
        </w:r>
        <w:r w:rsidR="0016072B">
          <w:rPr>
            <w:rStyle w:val="Lienhypertexte"/>
          </w:rPr>
          <w:t xml:space="preserve">ationale </w:t>
        </w:r>
        <w:r w:rsidRPr="00534721">
          <w:rPr>
            <w:rStyle w:val="Lienhypertexte"/>
          </w:rPr>
          <w:t>B</w:t>
        </w:r>
        <w:r w:rsidR="0016072B">
          <w:rPr>
            <w:rStyle w:val="Lienhypertexte"/>
          </w:rPr>
          <w:t xml:space="preserve">as </w:t>
        </w:r>
        <w:r w:rsidRPr="00534721">
          <w:rPr>
            <w:rStyle w:val="Lienhypertexte"/>
          </w:rPr>
          <w:t>C</w:t>
        </w:r>
        <w:r w:rsidR="0016072B">
          <w:rPr>
            <w:rStyle w:val="Lienhypertexte"/>
          </w:rPr>
          <w:t>arbone</w:t>
        </w:r>
      </w:hyperlink>
      <w:r w:rsidR="00006925">
        <w:rPr>
          <w:rStyle w:val="Lienhypertexte"/>
        </w:rPr>
        <w:t>.</w:t>
      </w:r>
    </w:p>
  </w:footnote>
  <w:footnote w:id="3">
    <w:p w14:paraId="7D44481D" w14:textId="1550D245" w:rsidR="0080069B" w:rsidRDefault="0080069B">
      <w:pPr>
        <w:pStyle w:val="Notedebasdepage"/>
      </w:pPr>
      <w:r>
        <w:rPr>
          <w:rStyle w:val="Appelnotedebasdep"/>
        </w:rPr>
        <w:footnoteRef/>
      </w:r>
      <w:r>
        <w:t xml:space="preserve"> </w:t>
      </w:r>
      <w:r w:rsidR="003A1E39">
        <w:t xml:space="preserve">Voir également les travaux du Conseil général de l’environnement et du développement durable </w:t>
      </w:r>
      <w:r>
        <w:t xml:space="preserve">et </w:t>
      </w:r>
      <w:r w:rsidR="003A1E39">
        <w:t xml:space="preserve">de </w:t>
      </w:r>
      <w:r>
        <w:t>France Stratégie</w:t>
      </w:r>
      <w:r w:rsidR="003A1E39">
        <w:t>,</w:t>
      </w:r>
      <w:r>
        <w:t xml:space="preserve"> </w:t>
      </w:r>
      <w:hyperlink r:id="rId2" w:history="1">
        <w:r w:rsidRPr="00534721">
          <w:rPr>
            <w:rStyle w:val="Lienhypertexte"/>
          </w:rPr>
          <w:t>Prospective 2040-2060 des transports et des mobilités. 20 ans pour réussir collectivement les déplacements de demain</w:t>
        </w:r>
      </w:hyperlink>
      <w:r w:rsidR="003A1E39">
        <w:t xml:space="preserve"> (2022)</w:t>
      </w:r>
      <w:r>
        <w:t>.</w:t>
      </w:r>
    </w:p>
  </w:footnote>
  <w:footnote w:id="4">
    <w:p w14:paraId="7258EC4A" w14:textId="2A9DF65C" w:rsidR="005750A0" w:rsidRDefault="005750A0">
      <w:pPr>
        <w:pStyle w:val="Notedebasdepage"/>
      </w:pPr>
      <w:r>
        <w:rPr>
          <w:rStyle w:val="Appelnotedebasdep"/>
        </w:rPr>
        <w:footnoteRef/>
      </w:r>
      <w:r>
        <w:t xml:space="preserve"> </w:t>
      </w:r>
      <w:r w:rsidR="0099444E">
        <w:t xml:space="preserve">La </w:t>
      </w:r>
      <w:hyperlink r:id="rId3" w:anchor="titre-bloc-16" w:history="1">
        <w:r w:rsidR="0099444E" w:rsidRPr="00534721">
          <w:rPr>
            <w:rStyle w:val="Lienhypertexte"/>
          </w:rPr>
          <w:t>note de conjoncture de l’Insee</w:t>
        </w:r>
      </w:hyperlink>
      <w:r w:rsidR="0099444E">
        <w:t xml:space="preserve"> d’octobre 2023 témoigne d’une accélération </w:t>
      </w:r>
      <w:r w:rsidR="00C40389">
        <w:t xml:space="preserve">de la hausse </w:t>
      </w:r>
      <w:r w:rsidR="0099444E">
        <w:t>du prix des transports sur un an (+</w:t>
      </w:r>
      <w:r w:rsidR="007D60C9">
        <w:t> </w:t>
      </w:r>
      <w:r w:rsidR="0099444E">
        <w:t>5,4</w:t>
      </w:r>
      <w:r w:rsidR="007D60C9">
        <w:t> </w:t>
      </w:r>
      <w:r w:rsidR="0099444E">
        <w:t>% après +</w:t>
      </w:r>
      <w:r w:rsidR="007D60C9">
        <w:t> </w:t>
      </w:r>
      <w:r w:rsidR="0099444E">
        <w:t>4,9</w:t>
      </w:r>
      <w:r w:rsidR="007D60C9">
        <w:t> </w:t>
      </w:r>
      <w:r w:rsidR="0099444E">
        <w:t>%), porté</w:t>
      </w:r>
      <w:r w:rsidR="00C40389">
        <w:t>e</w:t>
      </w:r>
      <w:r w:rsidR="0099444E">
        <w:t xml:space="preserve"> par ce</w:t>
      </w:r>
      <w:r w:rsidR="00C40389">
        <w:t>lle</w:t>
      </w:r>
      <w:r w:rsidR="0099444E">
        <w:t xml:space="preserve"> des</w:t>
      </w:r>
      <w:r w:rsidR="00C40389">
        <w:t xml:space="preserve"> prix des</w:t>
      </w:r>
      <w:r w:rsidR="0099444E">
        <w:t xml:space="preserve"> transports ferroviaires (+</w:t>
      </w:r>
      <w:r w:rsidR="007D60C9">
        <w:t> </w:t>
      </w:r>
      <w:r w:rsidR="0099444E">
        <w:t>9,2</w:t>
      </w:r>
      <w:r w:rsidR="007D60C9">
        <w:t> </w:t>
      </w:r>
      <w:r w:rsidR="0099444E">
        <w:t>% après +</w:t>
      </w:r>
      <w:r w:rsidR="007D60C9">
        <w:t> </w:t>
      </w:r>
      <w:r w:rsidR="0099444E">
        <w:t>6,8</w:t>
      </w:r>
      <w:r w:rsidR="007D60C9">
        <w:t> %</w:t>
      </w:r>
      <w:r w:rsidR="0099444E">
        <w:t xml:space="preserve">), tandis </w:t>
      </w:r>
      <w:r w:rsidR="00C40389">
        <w:t xml:space="preserve">qu’on observe un </w:t>
      </w:r>
      <w:r w:rsidR="0099444E">
        <w:t>ralentisse</w:t>
      </w:r>
      <w:r w:rsidR="00C40389">
        <w:t>me</w:t>
      </w:r>
      <w:r w:rsidR="0099444E">
        <w:t xml:space="preserve">nt </w:t>
      </w:r>
      <w:r w:rsidR="00C40389">
        <w:t>des prix d</w:t>
      </w:r>
      <w:r w:rsidR="0099444E">
        <w:t>es transports aériens (+</w:t>
      </w:r>
      <w:r w:rsidR="006357FC">
        <w:t> </w:t>
      </w:r>
      <w:r w:rsidR="0099444E">
        <w:t>4,5 % après + 6,6 %) et routiers (+ 5,2 % après + 6,1 %).</w:t>
      </w:r>
    </w:p>
  </w:footnote>
  <w:footnote w:id="5">
    <w:p w14:paraId="54A9B356" w14:textId="74000E65" w:rsidR="005270D7" w:rsidRDefault="005270D7" w:rsidP="005270D7">
      <w:pPr>
        <w:pStyle w:val="Notedebasdepage"/>
      </w:pPr>
      <w:r>
        <w:rPr>
          <w:rStyle w:val="Appelnotedebasdep"/>
        </w:rPr>
        <w:footnoteRef/>
      </w:r>
      <w:r>
        <w:t xml:space="preserve"> Autorité de la qualité de service dans les transports, </w:t>
      </w:r>
      <w:hyperlink r:id="rId4" w:history="1">
        <w:r w:rsidRPr="000B045D">
          <w:rPr>
            <w:rStyle w:val="Lienhypertexte"/>
          </w:rPr>
          <w:t xml:space="preserve">Bilan </w:t>
        </w:r>
        <w:r w:rsidR="00095FEF">
          <w:rPr>
            <w:rStyle w:val="Lienhypertexte"/>
          </w:rPr>
          <w:t xml:space="preserve">2022 </w:t>
        </w:r>
        <w:r w:rsidRPr="000B045D">
          <w:rPr>
            <w:rStyle w:val="Lienhypertexte"/>
          </w:rPr>
          <w:t>de la qualité de service des transports de voyageurs en France</w:t>
        </w:r>
      </w:hyperlink>
      <w:r>
        <w:t>.</w:t>
      </w:r>
    </w:p>
  </w:footnote>
  <w:footnote w:id="6">
    <w:p w14:paraId="09980BD2" w14:textId="77777777" w:rsidR="00026652" w:rsidRDefault="00026652" w:rsidP="00026652">
      <w:pPr>
        <w:pStyle w:val="Notedebasdepage"/>
      </w:pPr>
      <w:r>
        <w:rPr>
          <w:rStyle w:val="Appelnotedebasdep"/>
        </w:rPr>
        <w:footnoteRef/>
      </w:r>
      <w:r>
        <w:t xml:space="preserve"> Une autorité publique indépendante (API) comme l’ART est un organisme administratif doté d’une personnalité juridique (personne morale de droit public), qui agit au nom de l’État et dispose d’un réel pouvoir, sans pour autant relever de l’autorité du Gouvernement.</w:t>
      </w:r>
    </w:p>
  </w:footnote>
  <w:footnote w:id="7">
    <w:p w14:paraId="78A407DB" w14:textId="77777777" w:rsidR="004C3003" w:rsidRDefault="004C3003" w:rsidP="004C3003">
      <w:pPr>
        <w:pStyle w:val="Notedebasdepage"/>
      </w:pPr>
      <w:r>
        <w:rPr>
          <w:rStyle w:val="Appelnotedebasdep"/>
        </w:rPr>
        <w:footnoteRef/>
      </w:r>
      <w:r w:rsidRPr="003F4B4B">
        <w:t xml:space="preserve"> Le paquet appelé « Ajustement à l'objectif 55 » est un ensemble de propositions qui vise à aligner la législation européenne sur l’objectif </w:t>
      </w:r>
      <w:r>
        <w:t xml:space="preserve">de </w:t>
      </w:r>
      <w:r w:rsidRPr="003F4B4B">
        <w:t>réduction des émissions nettes de gaz à effet de serre d'au moins 55</w:t>
      </w:r>
      <w:r>
        <w:t> </w:t>
      </w:r>
      <w:r w:rsidRPr="003F4B4B">
        <w:t>% d'ici à 2030 par rapport aux niveaux de 1990.</w:t>
      </w:r>
    </w:p>
  </w:footnote>
  <w:footnote w:id="8">
    <w:p w14:paraId="47CE472E" w14:textId="77777777" w:rsidR="004C3003" w:rsidRPr="00953EB5" w:rsidRDefault="004C3003" w:rsidP="004C3003">
      <w:pPr>
        <w:pStyle w:val="Notedebasdepage"/>
      </w:pPr>
      <w:r w:rsidRPr="00953EB5">
        <w:rPr>
          <w:rStyle w:val="Appelnotedebasdep"/>
        </w:rPr>
        <w:footnoteRef/>
      </w:r>
      <w:r w:rsidRPr="00953EB5">
        <w:t xml:space="preserve"> Adoptée pour la première fois en 2015 et mise à jour en 2018-2019, puis le 21 avril 2020.</w:t>
      </w:r>
    </w:p>
  </w:footnote>
  <w:footnote w:id="9">
    <w:p w14:paraId="4F8D9BD5" w14:textId="54C8541D" w:rsidR="006E2072" w:rsidRDefault="006E2072" w:rsidP="006E2072">
      <w:pPr>
        <w:pStyle w:val="Notedebasdepage"/>
      </w:pPr>
      <w:r>
        <w:rPr>
          <w:rStyle w:val="Appelnotedebasdep"/>
        </w:rPr>
        <w:footnoteRef/>
      </w:r>
      <w:r>
        <w:t xml:space="preserve"> Ainsi, dans son avis 23-A-18 du 29 novembre 2023, l’Autorité de la concurrence recommande au législateur de modifier le code des transports afin que l’exercice par l’ART de ses missions soit cohérent avec les objectifs de la politique nationale des transports, notamment la protection de l’environnement.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EB10D" w14:textId="77777777" w:rsidR="003D1E27" w:rsidRDefault="003D1E27" w:rsidP="008425EC">
    <w:pPr>
      <w:pStyle w:val="En-tte"/>
      <w:ind w:hanging="1134"/>
      <w:rPr>
        <w:noProof/>
      </w:rPr>
    </w:pPr>
    <w:r w:rsidRPr="000847A8">
      <w:rPr>
        <w:rFonts w:ascii="Calibri" w:eastAsia="Calibri" w:hAnsi="Calibri"/>
        <w:noProof/>
        <w:sz w:val="24"/>
        <w:szCs w:val="24"/>
        <w:lang w:eastAsia="en-US"/>
      </w:rPr>
      <w:drawing>
        <wp:anchor distT="0" distB="0" distL="114300" distR="114300" simplePos="0" relativeHeight="251658240" behindDoc="1" locked="0" layoutInCell="1" allowOverlap="1" wp14:anchorId="5A726C10" wp14:editId="72A88DC8">
          <wp:simplePos x="0" y="0"/>
          <wp:positionH relativeFrom="page">
            <wp:align>left</wp:align>
          </wp:positionH>
          <wp:positionV relativeFrom="paragraph">
            <wp:posOffset>-451485</wp:posOffset>
          </wp:positionV>
          <wp:extent cx="7559675" cy="9601200"/>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pier en-tete-1.png"/>
                  <pic:cNvPicPr/>
                </pic:nvPicPr>
                <pic:blipFill rotWithShape="1">
                  <a:blip r:embed="rId1">
                    <a:extLst>
                      <a:ext uri="{28A0092B-C50C-407E-A947-70E740481C1C}">
                        <a14:useLocalDpi xmlns:a14="http://schemas.microsoft.com/office/drawing/2010/main" val="0"/>
                      </a:ext>
                    </a:extLst>
                  </a:blip>
                  <a:srcRect b="10138"/>
                  <a:stretch/>
                </pic:blipFill>
                <pic:spPr bwMode="auto">
                  <a:xfrm>
                    <a:off x="0" y="0"/>
                    <a:ext cx="7559675" cy="9601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42AE09F" w14:textId="77777777" w:rsidR="003D1E27" w:rsidRDefault="003D1E27" w:rsidP="008425EC">
    <w:pPr>
      <w:pStyle w:val="En-tte"/>
      <w:ind w:hanging="1134"/>
      <w:rPr>
        <w:noProof/>
      </w:rPr>
    </w:pPr>
  </w:p>
  <w:p w14:paraId="4BF7DD46" w14:textId="77777777" w:rsidR="003D1E27" w:rsidRDefault="003D1E27" w:rsidP="008425EC">
    <w:pPr>
      <w:pStyle w:val="En-tte"/>
      <w:ind w:hanging="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25DA8"/>
    <w:multiLevelType w:val="hybridMultilevel"/>
    <w:tmpl w:val="7A7A39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5B344A"/>
    <w:multiLevelType w:val="hybridMultilevel"/>
    <w:tmpl w:val="7ED88A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052771"/>
    <w:multiLevelType w:val="hybridMultilevel"/>
    <w:tmpl w:val="B7AE09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B46E15"/>
    <w:multiLevelType w:val="hybridMultilevel"/>
    <w:tmpl w:val="F3662A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E73761"/>
    <w:multiLevelType w:val="hybridMultilevel"/>
    <w:tmpl w:val="8AF8D9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D7C5626"/>
    <w:multiLevelType w:val="hybridMultilevel"/>
    <w:tmpl w:val="7F0A40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E5D7442"/>
    <w:multiLevelType w:val="hybridMultilevel"/>
    <w:tmpl w:val="7220C832"/>
    <w:lvl w:ilvl="0" w:tplc="C4E29ECC">
      <w:numFmt w:val="bullet"/>
      <w:pStyle w:val="Listetirets"/>
      <w:lvlText w:val="-"/>
      <w:lvlJc w:val="left"/>
      <w:pPr>
        <w:ind w:left="720" w:hanging="360"/>
      </w:pPr>
      <w:rPr>
        <w:rFonts w:ascii="Franklin Gothic Book" w:eastAsiaTheme="minorHAnsi" w:hAnsi="Franklin Gothic Book"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9356EB0"/>
    <w:multiLevelType w:val="hybridMultilevel"/>
    <w:tmpl w:val="44887DEC"/>
    <w:lvl w:ilvl="0" w:tplc="040C0001">
      <w:start w:val="1"/>
      <w:numFmt w:val="bullet"/>
      <w:lvlText w:val=""/>
      <w:lvlJc w:val="left"/>
      <w:pPr>
        <w:ind w:left="2345" w:hanging="360"/>
      </w:pPr>
      <w:rPr>
        <w:rFonts w:ascii="Symbol" w:hAnsi="Symbol"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8" w15:restartNumberingAfterBreak="0">
    <w:nsid w:val="3B6D085E"/>
    <w:multiLevelType w:val="hybridMultilevel"/>
    <w:tmpl w:val="5428D3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2BE267F"/>
    <w:multiLevelType w:val="hybridMultilevel"/>
    <w:tmpl w:val="17268640"/>
    <w:lvl w:ilvl="0" w:tplc="590A6860">
      <w:start w:val="1"/>
      <w:numFmt w:val="bullet"/>
      <w:pStyle w:val="puce"/>
      <w:lvlText w:val=""/>
      <w:lvlJc w:val="left"/>
      <w:pPr>
        <w:ind w:left="720" w:hanging="360"/>
      </w:pPr>
      <w:rPr>
        <w:rFonts w:ascii="Wingdings" w:hAnsi="Wingdings" w:hint="default"/>
        <w:color w:val="E7E6E6" w:themeColor="background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A76943"/>
    <w:multiLevelType w:val="hybridMultilevel"/>
    <w:tmpl w:val="F3F497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1612CF6"/>
    <w:multiLevelType w:val="hybridMultilevel"/>
    <w:tmpl w:val="4BA8F3C0"/>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2" w15:restartNumberingAfterBreak="0">
    <w:nsid w:val="57D556B4"/>
    <w:multiLevelType w:val="hybridMultilevel"/>
    <w:tmpl w:val="B2503D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9ED204A"/>
    <w:multiLevelType w:val="hybridMultilevel"/>
    <w:tmpl w:val="D0001E74"/>
    <w:lvl w:ilvl="0" w:tplc="FFFFFFFF">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B551D90"/>
    <w:multiLevelType w:val="hybridMultilevel"/>
    <w:tmpl w:val="69C2CC3E"/>
    <w:lvl w:ilvl="0" w:tplc="B5E6C752">
      <w:start w:val="1"/>
      <w:numFmt w:val="decimal"/>
      <w:pStyle w:val="Paragraphenumrot"/>
      <w:lvlText w:val="%1."/>
      <w:lvlJc w:val="right"/>
      <w:pPr>
        <w:ind w:left="76" w:hanging="360"/>
      </w:pPr>
      <w:rPr>
        <w:rFonts w:hint="default"/>
        <w:color w:val="auto"/>
        <w:sz w:val="18"/>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18E434B"/>
    <w:multiLevelType w:val="multilevel"/>
    <w:tmpl w:val="918C4F4A"/>
    <w:lvl w:ilvl="0">
      <w:start w:val="1"/>
      <w:numFmt w:val="decimal"/>
      <w:pStyle w:val="Titre1"/>
      <w:suff w:val="space"/>
      <w:lvlText w:val="%1."/>
      <w:lvlJc w:val="left"/>
      <w:pPr>
        <w:ind w:left="284" w:hanging="284"/>
      </w:pPr>
      <w:rPr>
        <w:rFonts w:ascii="Roboto" w:eastAsiaTheme="minorHAnsi" w:hAnsi="Roboto" w:cs="Times New Roman"/>
        <w:color w:val="24356D"/>
      </w:rPr>
    </w:lvl>
    <w:lvl w:ilvl="1">
      <w:start w:val="1"/>
      <w:numFmt w:val="decimal"/>
      <w:pStyle w:val="Titre2"/>
      <w:suff w:val="space"/>
      <w:lvlText w:val="%1.%2."/>
      <w:lvlJc w:val="left"/>
      <w:pPr>
        <w:ind w:left="9271" w:hanging="340"/>
      </w:pPr>
    </w:lvl>
    <w:lvl w:ilvl="2">
      <w:start w:val="1"/>
      <w:numFmt w:val="decimal"/>
      <w:suff w:val="space"/>
      <w:lvlText w:val="%1.%2.%3."/>
      <w:lvlJc w:val="left"/>
      <w:pPr>
        <w:ind w:left="454" w:firstLine="0"/>
      </w:pPr>
      <w:rPr>
        <w:rFonts w:hint="default"/>
        <w:color w:val="24356D"/>
        <w:u w:color="24356D" w:themeColor="text2"/>
      </w:rPr>
    </w:lvl>
    <w:lvl w:ilvl="3">
      <w:start w:val="1"/>
      <w:numFmt w:val="lowerLetter"/>
      <w:pStyle w:val="Titre4"/>
      <w:suff w:val="space"/>
      <w:lvlText w:val="%4."/>
      <w:lvlJc w:val="left"/>
      <w:pPr>
        <w:ind w:left="1474" w:hanging="283"/>
      </w:pPr>
    </w:lvl>
    <w:lvl w:ilvl="4">
      <w:start w:val="1"/>
      <w:numFmt w:val="bullet"/>
      <w:lvlRestart w:val="0"/>
      <w:pStyle w:val="Titre5"/>
      <w:suff w:val="space"/>
      <w:lvlText w:val=""/>
      <w:lvlJc w:val="left"/>
      <w:pPr>
        <w:ind w:left="1985" w:hanging="284"/>
      </w:pPr>
      <w:rPr>
        <w:rFonts w:ascii="Wingdings" w:hAnsi="Wingdings" w:hint="default"/>
        <w:color w:val="24356D"/>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16" w15:restartNumberingAfterBreak="0">
    <w:nsid w:val="63200515"/>
    <w:multiLevelType w:val="hybridMultilevel"/>
    <w:tmpl w:val="6AC6AA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3AA4822"/>
    <w:multiLevelType w:val="hybridMultilevel"/>
    <w:tmpl w:val="EA6A69B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4180DA1"/>
    <w:multiLevelType w:val="hybridMultilevel"/>
    <w:tmpl w:val="332815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4273C2D"/>
    <w:multiLevelType w:val="multilevel"/>
    <w:tmpl w:val="D51893F0"/>
    <w:styleLink w:val="Style1"/>
    <w:lvl w:ilvl="0">
      <w:start w:val="1"/>
      <w:numFmt w:val="decimal"/>
      <w:suff w:val="space"/>
      <w:lvlText w:val="%1."/>
      <w:lvlJc w:val="left"/>
      <w:pPr>
        <w:ind w:left="284" w:hanging="284"/>
      </w:pPr>
      <w:rPr>
        <w:rFonts w:hint="default"/>
        <w:color w:val="24356D" w:themeColor="text2"/>
      </w:rPr>
    </w:lvl>
    <w:lvl w:ilvl="1">
      <w:start w:val="1"/>
      <w:numFmt w:val="decimal"/>
      <w:suff w:val="space"/>
      <w:lvlText w:val="%1.%2."/>
      <w:lvlJc w:val="left"/>
      <w:pPr>
        <w:ind w:left="340" w:hanging="340"/>
      </w:pPr>
      <w:rPr>
        <w:rFonts w:hint="default"/>
        <w:color w:val="24356D" w:themeColor="text2"/>
      </w:rPr>
    </w:lvl>
    <w:lvl w:ilvl="2">
      <w:start w:val="1"/>
      <w:numFmt w:val="decimal"/>
      <w:suff w:val="space"/>
      <w:lvlText w:val="%1.%2.%3."/>
      <w:lvlJc w:val="left"/>
      <w:pPr>
        <w:ind w:left="284" w:firstLine="0"/>
      </w:pPr>
      <w:rPr>
        <w:rFonts w:hint="default"/>
        <w:color w:val="24356D" w:themeColor="text2"/>
        <w:u w:color="24356D" w:themeColor="text2"/>
      </w:rPr>
    </w:lvl>
    <w:lvl w:ilvl="3">
      <w:start w:val="1"/>
      <w:numFmt w:val="lowerLetter"/>
      <w:suff w:val="space"/>
      <w:lvlText w:val="%1.%2.%3.%4."/>
      <w:lvlJc w:val="left"/>
      <w:pPr>
        <w:ind w:left="794" w:hanging="114"/>
      </w:pPr>
      <w:rPr>
        <w:rFonts w:hint="default"/>
        <w:color w:val="24356D" w:themeColor="text2"/>
      </w:rPr>
    </w:lvl>
    <w:lvl w:ilvl="4">
      <w:start w:val="1"/>
      <w:numFmt w:val="bullet"/>
      <w:lvlRestart w:val="0"/>
      <w:suff w:val="space"/>
      <w:lvlText w:val=""/>
      <w:lvlJc w:val="left"/>
      <w:pPr>
        <w:ind w:left="2268" w:hanging="850"/>
      </w:pPr>
      <w:rPr>
        <w:rFonts w:ascii="Wingdings" w:hAnsi="Wingdings" w:hint="default"/>
        <w:color w:val="4D4D4D"/>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num w:numId="1" w16cid:durableId="1620070894">
    <w:abstractNumId w:val="9"/>
  </w:num>
  <w:num w:numId="2" w16cid:durableId="19282964">
    <w:abstractNumId w:val="6"/>
  </w:num>
  <w:num w:numId="3" w16cid:durableId="890769025">
    <w:abstractNumId w:val="19"/>
  </w:num>
  <w:num w:numId="4" w16cid:durableId="1815875145">
    <w:abstractNumId w:val="15"/>
  </w:num>
  <w:num w:numId="5" w16cid:durableId="1263105175">
    <w:abstractNumId w:val="14"/>
  </w:num>
  <w:num w:numId="6" w16cid:durableId="424106889">
    <w:abstractNumId w:val="8"/>
  </w:num>
  <w:num w:numId="7" w16cid:durableId="419985415">
    <w:abstractNumId w:val="4"/>
  </w:num>
  <w:num w:numId="8" w16cid:durableId="2096584712">
    <w:abstractNumId w:val="13"/>
  </w:num>
  <w:num w:numId="9" w16cid:durableId="504172033">
    <w:abstractNumId w:val="16"/>
  </w:num>
  <w:num w:numId="10" w16cid:durableId="1259022274">
    <w:abstractNumId w:val="18"/>
  </w:num>
  <w:num w:numId="11" w16cid:durableId="171644903">
    <w:abstractNumId w:val="17"/>
  </w:num>
  <w:num w:numId="12" w16cid:durableId="636377474">
    <w:abstractNumId w:val="1"/>
  </w:num>
  <w:num w:numId="13" w16cid:durableId="1097336703">
    <w:abstractNumId w:val="0"/>
  </w:num>
  <w:num w:numId="14" w16cid:durableId="1154683443">
    <w:abstractNumId w:val="12"/>
  </w:num>
  <w:num w:numId="15" w16cid:durableId="1847669442">
    <w:abstractNumId w:val="5"/>
  </w:num>
  <w:num w:numId="16" w16cid:durableId="94985553">
    <w:abstractNumId w:val="7"/>
  </w:num>
  <w:num w:numId="17" w16cid:durableId="1535458677">
    <w:abstractNumId w:val="11"/>
  </w:num>
  <w:num w:numId="18" w16cid:durableId="1356270442">
    <w:abstractNumId w:val="3"/>
  </w:num>
  <w:num w:numId="19" w16cid:durableId="1770391881">
    <w:abstractNumId w:val="2"/>
  </w:num>
  <w:num w:numId="20" w16cid:durableId="1381006946">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887"/>
    <w:rsid w:val="000004F4"/>
    <w:rsid w:val="000005A8"/>
    <w:rsid w:val="000007D7"/>
    <w:rsid w:val="00000FFC"/>
    <w:rsid w:val="00001892"/>
    <w:rsid w:val="00001B5C"/>
    <w:rsid w:val="00001D39"/>
    <w:rsid w:val="00001EE0"/>
    <w:rsid w:val="00001F1F"/>
    <w:rsid w:val="00001FF2"/>
    <w:rsid w:val="00001FF8"/>
    <w:rsid w:val="00002334"/>
    <w:rsid w:val="000033FB"/>
    <w:rsid w:val="00003494"/>
    <w:rsid w:val="0000376D"/>
    <w:rsid w:val="00003775"/>
    <w:rsid w:val="00004A15"/>
    <w:rsid w:val="00004F85"/>
    <w:rsid w:val="0000521B"/>
    <w:rsid w:val="000052BF"/>
    <w:rsid w:val="00005755"/>
    <w:rsid w:val="00005D16"/>
    <w:rsid w:val="00006071"/>
    <w:rsid w:val="0000608F"/>
    <w:rsid w:val="00006415"/>
    <w:rsid w:val="00006925"/>
    <w:rsid w:val="00006F10"/>
    <w:rsid w:val="0000711C"/>
    <w:rsid w:val="0000777B"/>
    <w:rsid w:val="00007821"/>
    <w:rsid w:val="00007D43"/>
    <w:rsid w:val="00007DC9"/>
    <w:rsid w:val="0001021C"/>
    <w:rsid w:val="0001062F"/>
    <w:rsid w:val="000106CA"/>
    <w:rsid w:val="00011021"/>
    <w:rsid w:val="0001187F"/>
    <w:rsid w:val="0001325A"/>
    <w:rsid w:val="000134CB"/>
    <w:rsid w:val="000137DE"/>
    <w:rsid w:val="00013C55"/>
    <w:rsid w:val="0001467A"/>
    <w:rsid w:val="0001500A"/>
    <w:rsid w:val="0001516D"/>
    <w:rsid w:val="00015834"/>
    <w:rsid w:val="00016688"/>
    <w:rsid w:val="00016993"/>
    <w:rsid w:val="00016D65"/>
    <w:rsid w:val="00016DC0"/>
    <w:rsid w:val="0001779A"/>
    <w:rsid w:val="00017EBA"/>
    <w:rsid w:val="000204FC"/>
    <w:rsid w:val="00020C54"/>
    <w:rsid w:val="00020DF2"/>
    <w:rsid w:val="00020E0F"/>
    <w:rsid w:val="00021408"/>
    <w:rsid w:val="00024196"/>
    <w:rsid w:val="00024721"/>
    <w:rsid w:val="00024B60"/>
    <w:rsid w:val="0002531F"/>
    <w:rsid w:val="000260A3"/>
    <w:rsid w:val="00026172"/>
    <w:rsid w:val="00026652"/>
    <w:rsid w:val="00026F2C"/>
    <w:rsid w:val="00027044"/>
    <w:rsid w:val="000279F9"/>
    <w:rsid w:val="0003025A"/>
    <w:rsid w:val="00030335"/>
    <w:rsid w:val="00030423"/>
    <w:rsid w:val="00030706"/>
    <w:rsid w:val="00031371"/>
    <w:rsid w:val="00031E6C"/>
    <w:rsid w:val="00031ED1"/>
    <w:rsid w:val="000321D8"/>
    <w:rsid w:val="000335FE"/>
    <w:rsid w:val="0003389E"/>
    <w:rsid w:val="00034666"/>
    <w:rsid w:val="00034F62"/>
    <w:rsid w:val="000350E4"/>
    <w:rsid w:val="000357C4"/>
    <w:rsid w:val="00035853"/>
    <w:rsid w:val="00036AA7"/>
    <w:rsid w:val="00036BB8"/>
    <w:rsid w:val="0003746E"/>
    <w:rsid w:val="000409A2"/>
    <w:rsid w:val="000409D3"/>
    <w:rsid w:val="00040B77"/>
    <w:rsid w:val="00040ECA"/>
    <w:rsid w:val="00041341"/>
    <w:rsid w:val="00041D34"/>
    <w:rsid w:val="00041EA5"/>
    <w:rsid w:val="00042002"/>
    <w:rsid w:val="00042A41"/>
    <w:rsid w:val="00043166"/>
    <w:rsid w:val="0004339C"/>
    <w:rsid w:val="00043407"/>
    <w:rsid w:val="000457C9"/>
    <w:rsid w:val="00046805"/>
    <w:rsid w:val="000468E5"/>
    <w:rsid w:val="00046CDD"/>
    <w:rsid w:val="000470C6"/>
    <w:rsid w:val="000475D4"/>
    <w:rsid w:val="0004761E"/>
    <w:rsid w:val="00047A0B"/>
    <w:rsid w:val="00047D09"/>
    <w:rsid w:val="0005134E"/>
    <w:rsid w:val="00051353"/>
    <w:rsid w:val="00051452"/>
    <w:rsid w:val="00051811"/>
    <w:rsid w:val="00052064"/>
    <w:rsid w:val="00052419"/>
    <w:rsid w:val="00053A41"/>
    <w:rsid w:val="00053AFB"/>
    <w:rsid w:val="00053F23"/>
    <w:rsid w:val="0005481B"/>
    <w:rsid w:val="000548F9"/>
    <w:rsid w:val="00054C46"/>
    <w:rsid w:val="00054F8D"/>
    <w:rsid w:val="000554F2"/>
    <w:rsid w:val="00055C14"/>
    <w:rsid w:val="000564F3"/>
    <w:rsid w:val="00056DDC"/>
    <w:rsid w:val="00057228"/>
    <w:rsid w:val="0005772E"/>
    <w:rsid w:val="000578C4"/>
    <w:rsid w:val="00057A9B"/>
    <w:rsid w:val="00057ACD"/>
    <w:rsid w:val="00057EAC"/>
    <w:rsid w:val="00060527"/>
    <w:rsid w:val="00060AF6"/>
    <w:rsid w:val="000615FA"/>
    <w:rsid w:val="00061975"/>
    <w:rsid w:val="000622D7"/>
    <w:rsid w:val="000625B1"/>
    <w:rsid w:val="0006308B"/>
    <w:rsid w:val="0006393E"/>
    <w:rsid w:val="00063B4A"/>
    <w:rsid w:val="0006411D"/>
    <w:rsid w:val="00064460"/>
    <w:rsid w:val="00064841"/>
    <w:rsid w:val="0006527A"/>
    <w:rsid w:val="00065826"/>
    <w:rsid w:val="00066273"/>
    <w:rsid w:val="00066C2B"/>
    <w:rsid w:val="0006735A"/>
    <w:rsid w:val="0007014E"/>
    <w:rsid w:val="00070183"/>
    <w:rsid w:val="00070616"/>
    <w:rsid w:val="00072F99"/>
    <w:rsid w:val="0007381F"/>
    <w:rsid w:val="00073892"/>
    <w:rsid w:val="000739AE"/>
    <w:rsid w:val="0007414A"/>
    <w:rsid w:val="00074298"/>
    <w:rsid w:val="00074531"/>
    <w:rsid w:val="000746F6"/>
    <w:rsid w:val="00074B78"/>
    <w:rsid w:val="00074CB6"/>
    <w:rsid w:val="00074D2B"/>
    <w:rsid w:val="0007545B"/>
    <w:rsid w:val="00075C98"/>
    <w:rsid w:val="00076AB3"/>
    <w:rsid w:val="00076FD2"/>
    <w:rsid w:val="000779B3"/>
    <w:rsid w:val="00077D11"/>
    <w:rsid w:val="0008023A"/>
    <w:rsid w:val="000802D2"/>
    <w:rsid w:val="000813E3"/>
    <w:rsid w:val="00081BA5"/>
    <w:rsid w:val="000822CC"/>
    <w:rsid w:val="00082962"/>
    <w:rsid w:val="00082D5C"/>
    <w:rsid w:val="0008303B"/>
    <w:rsid w:val="0008380F"/>
    <w:rsid w:val="00083B81"/>
    <w:rsid w:val="00084109"/>
    <w:rsid w:val="000845B8"/>
    <w:rsid w:val="00084D7A"/>
    <w:rsid w:val="00085169"/>
    <w:rsid w:val="00085354"/>
    <w:rsid w:val="000853B0"/>
    <w:rsid w:val="0008586F"/>
    <w:rsid w:val="00085EDA"/>
    <w:rsid w:val="00086D39"/>
    <w:rsid w:val="00086DEE"/>
    <w:rsid w:val="00087DF3"/>
    <w:rsid w:val="000904BD"/>
    <w:rsid w:val="00091253"/>
    <w:rsid w:val="000917F3"/>
    <w:rsid w:val="00091874"/>
    <w:rsid w:val="00092C5B"/>
    <w:rsid w:val="0009439D"/>
    <w:rsid w:val="00094BFB"/>
    <w:rsid w:val="00095492"/>
    <w:rsid w:val="00095FEF"/>
    <w:rsid w:val="00096BCF"/>
    <w:rsid w:val="000A03CC"/>
    <w:rsid w:val="000A04DF"/>
    <w:rsid w:val="000A08A5"/>
    <w:rsid w:val="000A1652"/>
    <w:rsid w:val="000A2006"/>
    <w:rsid w:val="000A2386"/>
    <w:rsid w:val="000A2417"/>
    <w:rsid w:val="000A2714"/>
    <w:rsid w:val="000A3AD9"/>
    <w:rsid w:val="000A3F4C"/>
    <w:rsid w:val="000A4665"/>
    <w:rsid w:val="000A5318"/>
    <w:rsid w:val="000A62B9"/>
    <w:rsid w:val="000A659C"/>
    <w:rsid w:val="000A6A90"/>
    <w:rsid w:val="000A6CC5"/>
    <w:rsid w:val="000B001C"/>
    <w:rsid w:val="000B00A6"/>
    <w:rsid w:val="000B0418"/>
    <w:rsid w:val="000B0451"/>
    <w:rsid w:val="000B045D"/>
    <w:rsid w:val="000B052D"/>
    <w:rsid w:val="000B05E1"/>
    <w:rsid w:val="000B1890"/>
    <w:rsid w:val="000B1DA3"/>
    <w:rsid w:val="000B1FEE"/>
    <w:rsid w:val="000B289B"/>
    <w:rsid w:val="000B2FBE"/>
    <w:rsid w:val="000B30D6"/>
    <w:rsid w:val="000B364F"/>
    <w:rsid w:val="000B41A8"/>
    <w:rsid w:val="000B49B7"/>
    <w:rsid w:val="000B4B8C"/>
    <w:rsid w:val="000B653B"/>
    <w:rsid w:val="000B6658"/>
    <w:rsid w:val="000B711F"/>
    <w:rsid w:val="000B76AC"/>
    <w:rsid w:val="000B7CFE"/>
    <w:rsid w:val="000C1408"/>
    <w:rsid w:val="000C2568"/>
    <w:rsid w:val="000C256B"/>
    <w:rsid w:val="000C28CD"/>
    <w:rsid w:val="000C2FF3"/>
    <w:rsid w:val="000C30B1"/>
    <w:rsid w:val="000C3281"/>
    <w:rsid w:val="000C3520"/>
    <w:rsid w:val="000C3644"/>
    <w:rsid w:val="000C3F3A"/>
    <w:rsid w:val="000C56C6"/>
    <w:rsid w:val="000C64D6"/>
    <w:rsid w:val="000C6952"/>
    <w:rsid w:val="000C6C57"/>
    <w:rsid w:val="000C70FA"/>
    <w:rsid w:val="000C73AD"/>
    <w:rsid w:val="000C7E00"/>
    <w:rsid w:val="000C7FAE"/>
    <w:rsid w:val="000D037D"/>
    <w:rsid w:val="000D077C"/>
    <w:rsid w:val="000D0FF2"/>
    <w:rsid w:val="000D1642"/>
    <w:rsid w:val="000D2293"/>
    <w:rsid w:val="000D2CBF"/>
    <w:rsid w:val="000D3532"/>
    <w:rsid w:val="000D35B3"/>
    <w:rsid w:val="000D37EA"/>
    <w:rsid w:val="000D3A32"/>
    <w:rsid w:val="000D3B0A"/>
    <w:rsid w:val="000D419B"/>
    <w:rsid w:val="000D47F7"/>
    <w:rsid w:val="000D5C7F"/>
    <w:rsid w:val="000D692A"/>
    <w:rsid w:val="000D6B6A"/>
    <w:rsid w:val="000D6FB9"/>
    <w:rsid w:val="000D7173"/>
    <w:rsid w:val="000D71E1"/>
    <w:rsid w:val="000D7294"/>
    <w:rsid w:val="000D77CD"/>
    <w:rsid w:val="000D7810"/>
    <w:rsid w:val="000D79AF"/>
    <w:rsid w:val="000D7C51"/>
    <w:rsid w:val="000D7EAF"/>
    <w:rsid w:val="000E08B8"/>
    <w:rsid w:val="000E0AD8"/>
    <w:rsid w:val="000E2016"/>
    <w:rsid w:val="000E2FE6"/>
    <w:rsid w:val="000E33E4"/>
    <w:rsid w:val="000E355A"/>
    <w:rsid w:val="000E6865"/>
    <w:rsid w:val="000E6B15"/>
    <w:rsid w:val="000E6C50"/>
    <w:rsid w:val="000E79FB"/>
    <w:rsid w:val="000E7AEB"/>
    <w:rsid w:val="000F2154"/>
    <w:rsid w:val="000F22B1"/>
    <w:rsid w:val="000F22B4"/>
    <w:rsid w:val="000F2447"/>
    <w:rsid w:val="000F2CB7"/>
    <w:rsid w:val="000F3641"/>
    <w:rsid w:val="000F3BD8"/>
    <w:rsid w:val="000F3E5D"/>
    <w:rsid w:val="000F4579"/>
    <w:rsid w:val="000F4785"/>
    <w:rsid w:val="000F51AC"/>
    <w:rsid w:val="000F52D8"/>
    <w:rsid w:val="000F55DC"/>
    <w:rsid w:val="000F59A9"/>
    <w:rsid w:val="000F5FA7"/>
    <w:rsid w:val="000F7396"/>
    <w:rsid w:val="000F7C84"/>
    <w:rsid w:val="000F7E57"/>
    <w:rsid w:val="00100872"/>
    <w:rsid w:val="00100B79"/>
    <w:rsid w:val="00100D45"/>
    <w:rsid w:val="00100DC6"/>
    <w:rsid w:val="0010158F"/>
    <w:rsid w:val="00101CDD"/>
    <w:rsid w:val="00101CEE"/>
    <w:rsid w:val="00102201"/>
    <w:rsid w:val="00103957"/>
    <w:rsid w:val="001040B8"/>
    <w:rsid w:val="00104E15"/>
    <w:rsid w:val="00105146"/>
    <w:rsid w:val="0010515B"/>
    <w:rsid w:val="0010564F"/>
    <w:rsid w:val="001059E4"/>
    <w:rsid w:val="001062BF"/>
    <w:rsid w:val="001066BF"/>
    <w:rsid w:val="00107B7C"/>
    <w:rsid w:val="00107EF5"/>
    <w:rsid w:val="001102E7"/>
    <w:rsid w:val="001107A3"/>
    <w:rsid w:val="0011114B"/>
    <w:rsid w:val="001114C3"/>
    <w:rsid w:val="00111B0C"/>
    <w:rsid w:val="00111C0D"/>
    <w:rsid w:val="00112BBE"/>
    <w:rsid w:val="00112CDE"/>
    <w:rsid w:val="00112E63"/>
    <w:rsid w:val="00112F1C"/>
    <w:rsid w:val="0011313E"/>
    <w:rsid w:val="00113E0F"/>
    <w:rsid w:val="00114297"/>
    <w:rsid w:val="0011437A"/>
    <w:rsid w:val="00114EC7"/>
    <w:rsid w:val="001152B6"/>
    <w:rsid w:val="001153CE"/>
    <w:rsid w:val="00115715"/>
    <w:rsid w:val="0011571D"/>
    <w:rsid w:val="001159F8"/>
    <w:rsid w:val="00115B3A"/>
    <w:rsid w:val="00115E21"/>
    <w:rsid w:val="001163E4"/>
    <w:rsid w:val="00116B3C"/>
    <w:rsid w:val="00116C51"/>
    <w:rsid w:val="0012036F"/>
    <w:rsid w:val="0012086F"/>
    <w:rsid w:val="00120FE0"/>
    <w:rsid w:val="001210DB"/>
    <w:rsid w:val="00122099"/>
    <w:rsid w:val="00122343"/>
    <w:rsid w:val="0012365C"/>
    <w:rsid w:val="0012373D"/>
    <w:rsid w:val="001240F0"/>
    <w:rsid w:val="001244C7"/>
    <w:rsid w:val="001245AA"/>
    <w:rsid w:val="00124A16"/>
    <w:rsid w:val="00124B13"/>
    <w:rsid w:val="0012514C"/>
    <w:rsid w:val="00125DB6"/>
    <w:rsid w:val="00125EF3"/>
    <w:rsid w:val="001263EF"/>
    <w:rsid w:val="00126533"/>
    <w:rsid w:val="00126566"/>
    <w:rsid w:val="00126CA9"/>
    <w:rsid w:val="00126D22"/>
    <w:rsid w:val="0013046B"/>
    <w:rsid w:val="00130601"/>
    <w:rsid w:val="00130636"/>
    <w:rsid w:val="001306FA"/>
    <w:rsid w:val="00131109"/>
    <w:rsid w:val="00131542"/>
    <w:rsid w:val="00131CDA"/>
    <w:rsid w:val="001322E8"/>
    <w:rsid w:val="00132452"/>
    <w:rsid w:val="00133B26"/>
    <w:rsid w:val="001349BD"/>
    <w:rsid w:val="00134C2B"/>
    <w:rsid w:val="00135A95"/>
    <w:rsid w:val="0013795E"/>
    <w:rsid w:val="00140A7A"/>
    <w:rsid w:val="00142672"/>
    <w:rsid w:val="00142C54"/>
    <w:rsid w:val="00142CC3"/>
    <w:rsid w:val="00143403"/>
    <w:rsid w:val="00143C95"/>
    <w:rsid w:val="00143E8B"/>
    <w:rsid w:val="00143F35"/>
    <w:rsid w:val="00145499"/>
    <w:rsid w:val="0014572B"/>
    <w:rsid w:val="00145D96"/>
    <w:rsid w:val="00145DF9"/>
    <w:rsid w:val="00146FD3"/>
    <w:rsid w:val="00147838"/>
    <w:rsid w:val="00147FCA"/>
    <w:rsid w:val="001500B3"/>
    <w:rsid w:val="0015066D"/>
    <w:rsid w:val="00150A5D"/>
    <w:rsid w:val="00150D95"/>
    <w:rsid w:val="0015102A"/>
    <w:rsid w:val="00151619"/>
    <w:rsid w:val="001516F9"/>
    <w:rsid w:val="00151ED7"/>
    <w:rsid w:val="00151F51"/>
    <w:rsid w:val="0015205C"/>
    <w:rsid w:val="0015232F"/>
    <w:rsid w:val="0015233D"/>
    <w:rsid w:val="00152C9C"/>
    <w:rsid w:val="00152CF4"/>
    <w:rsid w:val="001543DE"/>
    <w:rsid w:val="001547F5"/>
    <w:rsid w:val="001555BB"/>
    <w:rsid w:val="00155A70"/>
    <w:rsid w:val="00155DB9"/>
    <w:rsid w:val="00156D2A"/>
    <w:rsid w:val="00156E1D"/>
    <w:rsid w:val="0015702E"/>
    <w:rsid w:val="00157D02"/>
    <w:rsid w:val="00157DFA"/>
    <w:rsid w:val="0016072B"/>
    <w:rsid w:val="001607EC"/>
    <w:rsid w:val="00160ADB"/>
    <w:rsid w:val="00160D53"/>
    <w:rsid w:val="001626B6"/>
    <w:rsid w:val="001627D2"/>
    <w:rsid w:val="00163055"/>
    <w:rsid w:val="00163233"/>
    <w:rsid w:val="001638DA"/>
    <w:rsid w:val="001641F6"/>
    <w:rsid w:val="00164205"/>
    <w:rsid w:val="001645F0"/>
    <w:rsid w:val="001653E4"/>
    <w:rsid w:val="00165B53"/>
    <w:rsid w:val="00165C4E"/>
    <w:rsid w:val="001660DD"/>
    <w:rsid w:val="001663E7"/>
    <w:rsid w:val="00166FB5"/>
    <w:rsid w:val="0016754F"/>
    <w:rsid w:val="00167660"/>
    <w:rsid w:val="001702C5"/>
    <w:rsid w:val="001711FC"/>
    <w:rsid w:val="00171A36"/>
    <w:rsid w:val="00172071"/>
    <w:rsid w:val="0017234A"/>
    <w:rsid w:val="0017235F"/>
    <w:rsid w:val="001724B3"/>
    <w:rsid w:val="00172A5A"/>
    <w:rsid w:val="00173112"/>
    <w:rsid w:val="00173779"/>
    <w:rsid w:val="00174407"/>
    <w:rsid w:val="00174F1E"/>
    <w:rsid w:val="0017511D"/>
    <w:rsid w:val="0017526A"/>
    <w:rsid w:val="001754BA"/>
    <w:rsid w:val="00175719"/>
    <w:rsid w:val="0017579F"/>
    <w:rsid w:val="001758DB"/>
    <w:rsid w:val="00175BFF"/>
    <w:rsid w:val="00176324"/>
    <w:rsid w:val="0017687A"/>
    <w:rsid w:val="00176A2B"/>
    <w:rsid w:val="00176B7A"/>
    <w:rsid w:val="00176FC6"/>
    <w:rsid w:val="001779E4"/>
    <w:rsid w:val="00177C10"/>
    <w:rsid w:val="001800D5"/>
    <w:rsid w:val="0018026E"/>
    <w:rsid w:val="00180BE5"/>
    <w:rsid w:val="00180C24"/>
    <w:rsid w:val="00180D4E"/>
    <w:rsid w:val="00181F9C"/>
    <w:rsid w:val="0018240C"/>
    <w:rsid w:val="0018265C"/>
    <w:rsid w:val="00182C08"/>
    <w:rsid w:val="00182F79"/>
    <w:rsid w:val="0018320A"/>
    <w:rsid w:val="00183B6D"/>
    <w:rsid w:val="00184A83"/>
    <w:rsid w:val="00184E8E"/>
    <w:rsid w:val="0018642D"/>
    <w:rsid w:val="00186F86"/>
    <w:rsid w:val="00191880"/>
    <w:rsid w:val="00191A21"/>
    <w:rsid w:val="00192C1B"/>
    <w:rsid w:val="00192E08"/>
    <w:rsid w:val="00193284"/>
    <w:rsid w:val="00193565"/>
    <w:rsid w:val="00193BC8"/>
    <w:rsid w:val="00193D51"/>
    <w:rsid w:val="00193E47"/>
    <w:rsid w:val="00193E52"/>
    <w:rsid w:val="00194509"/>
    <w:rsid w:val="001951AF"/>
    <w:rsid w:val="00195706"/>
    <w:rsid w:val="001958C4"/>
    <w:rsid w:val="00195B9A"/>
    <w:rsid w:val="00195D4A"/>
    <w:rsid w:val="00196315"/>
    <w:rsid w:val="00196EAF"/>
    <w:rsid w:val="0019736E"/>
    <w:rsid w:val="0019772A"/>
    <w:rsid w:val="00197EEB"/>
    <w:rsid w:val="001A00CA"/>
    <w:rsid w:val="001A0A57"/>
    <w:rsid w:val="001A0A61"/>
    <w:rsid w:val="001A0C08"/>
    <w:rsid w:val="001A182F"/>
    <w:rsid w:val="001A1BF0"/>
    <w:rsid w:val="001A24B3"/>
    <w:rsid w:val="001A27C3"/>
    <w:rsid w:val="001A27D9"/>
    <w:rsid w:val="001A2BDA"/>
    <w:rsid w:val="001A2EB4"/>
    <w:rsid w:val="001A3107"/>
    <w:rsid w:val="001A3A44"/>
    <w:rsid w:val="001A3BD4"/>
    <w:rsid w:val="001A3CF8"/>
    <w:rsid w:val="001A4B77"/>
    <w:rsid w:val="001A55C0"/>
    <w:rsid w:val="001A565D"/>
    <w:rsid w:val="001A59E2"/>
    <w:rsid w:val="001A5D40"/>
    <w:rsid w:val="001A5E0A"/>
    <w:rsid w:val="001A66E5"/>
    <w:rsid w:val="001A670C"/>
    <w:rsid w:val="001A6AF9"/>
    <w:rsid w:val="001A6FE3"/>
    <w:rsid w:val="001A6FF3"/>
    <w:rsid w:val="001A7234"/>
    <w:rsid w:val="001A78B9"/>
    <w:rsid w:val="001B0356"/>
    <w:rsid w:val="001B0A17"/>
    <w:rsid w:val="001B0E8A"/>
    <w:rsid w:val="001B0EA7"/>
    <w:rsid w:val="001B0EE6"/>
    <w:rsid w:val="001B1482"/>
    <w:rsid w:val="001B2087"/>
    <w:rsid w:val="001B229B"/>
    <w:rsid w:val="001B2957"/>
    <w:rsid w:val="001B3763"/>
    <w:rsid w:val="001B48B8"/>
    <w:rsid w:val="001B4DCB"/>
    <w:rsid w:val="001B4FA2"/>
    <w:rsid w:val="001B67B5"/>
    <w:rsid w:val="001B6856"/>
    <w:rsid w:val="001B6BD0"/>
    <w:rsid w:val="001B6D77"/>
    <w:rsid w:val="001B750F"/>
    <w:rsid w:val="001B7FC2"/>
    <w:rsid w:val="001C0007"/>
    <w:rsid w:val="001C007A"/>
    <w:rsid w:val="001C0394"/>
    <w:rsid w:val="001C0948"/>
    <w:rsid w:val="001C0BB1"/>
    <w:rsid w:val="001C171E"/>
    <w:rsid w:val="001C183B"/>
    <w:rsid w:val="001C1CD5"/>
    <w:rsid w:val="001C21E3"/>
    <w:rsid w:val="001C22D9"/>
    <w:rsid w:val="001C26C5"/>
    <w:rsid w:val="001C2B88"/>
    <w:rsid w:val="001C3037"/>
    <w:rsid w:val="001C320F"/>
    <w:rsid w:val="001C435C"/>
    <w:rsid w:val="001C4669"/>
    <w:rsid w:val="001C4C0C"/>
    <w:rsid w:val="001C7804"/>
    <w:rsid w:val="001C7C56"/>
    <w:rsid w:val="001D0416"/>
    <w:rsid w:val="001D0D57"/>
    <w:rsid w:val="001D28E8"/>
    <w:rsid w:val="001D2B0A"/>
    <w:rsid w:val="001D2BCC"/>
    <w:rsid w:val="001D2DCF"/>
    <w:rsid w:val="001D41FC"/>
    <w:rsid w:val="001D4CA0"/>
    <w:rsid w:val="001D5256"/>
    <w:rsid w:val="001D5570"/>
    <w:rsid w:val="001D588E"/>
    <w:rsid w:val="001D6047"/>
    <w:rsid w:val="001D651B"/>
    <w:rsid w:val="001D68EE"/>
    <w:rsid w:val="001D6CE7"/>
    <w:rsid w:val="001D7001"/>
    <w:rsid w:val="001D7050"/>
    <w:rsid w:val="001D716D"/>
    <w:rsid w:val="001D7565"/>
    <w:rsid w:val="001D7982"/>
    <w:rsid w:val="001E0597"/>
    <w:rsid w:val="001E0BA9"/>
    <w:rsid w:val="001E15DC"/>
    <w:rsid w:val="001E1FEB"/>
    <w:rsid w:val="001E3132"/>
    <w:rsid w:val="001E45B5"/>
    <w:rsid w:val="001E4F0D"/>
    <w:rsid w:val="001E6057"/>
    <w:rsid w:val="001E61BF"/>
    <w:rsid w:val="001E6205"/>
    <w:rsid w:val="001E647F"/>
    <w:rsid w:val="001E6A09"/>
    <w:rsid w:val="001E6C79"/>
    <w:rsid w:val="001E6DC0"/>
    <w:rsid w:val="001E75C5"/>
    <w:rsid w:val="001E7741"/>
    <w:rsid w:val="001F00DB"/>
    <w:rsid w:val="001F05D5"/>
    <w:rsid w:val="001F154C"/>
    <w:rsid w:val="001F1FF2"/>
    <w:rsid w:val="001F26F0"/>
    <w:rsid w:val="001F2E5F"/>
    <w:rsid w:val="001F329E"/>
    <w:rsid w:val="001F444E"/>
    <w:rsid w:val="001F48AC"/>
    <w:rsid w:val="001F4BB4"/>
    <w:rsid w:val="001F5361"/>
    <w:rsid w:val="001F5B0D"/>
    <w:rsid w:val="001F5C2A"/>
    <w:rsid w:val="001F64B3"/>
    <w:rsid w:val="001F737E"/>
    <w:rsid w:val="00200A72"/>
    <w:rsid w:val="00201709"/>
    <w:rsid w:val="00201F5B"/>
    <w:rsid w:val="0020251F"/>
    <w:rsid w:val="00203363"/>
    <w:rsid w:val="002036AA"/>
    <w:rsid w:val="002043FF"/>
    <w:rsid w:val="002044EA"/>
    <w:rsid w:val="0020457E"/>
    <w:rsid w:val="00205CB0"/>
    <w:rsid w:val="002063B1"/>
    <w:rsid w:val="0020646A"/>
    <w:rsid w:val="00206FC1"/>
    <w:rsid w:val="00207180"/>
    <w:rsid w:val="002073A9"/>
    <w:rsid w:val="0020771A"/>
    <w:rsid w:val="002079C2"/>
    <w:rsid w:val="00207E5A"/>
    <w:rsid w:val="00210E65"/>
    <w:rsid w:val="00210EA3"/>
    <w:rsid w:val="00211176"/>
    <w:rsid w:val="00211952"/>
    <w:rsid w:val="002122B4"/>
    <w:rsid w:val="00212602"/>
    <w:rsid w:val="00212912"/>
    <w:rsid w:val="00212DEC"/>
    <w:rsid w:val="0021316E"/>
    <w:rsid w:val="0021319C"/>
    <w:rsid w:val="00213723"/>
    <w:rsid w:val="00214294"/>
    <w:rsid w:val="00214B0F"/>
    <w:rsid w:val="00214D96"/>
    <w:rsid w:val="00215173"/>
    <w:rsid w:val="00215E7B"/>
    <w:rsid w:val="0021647B"/>
    <w:rsid w:val="0021668E"/>
    <w:rsid w:val="002167D8"/>
    <w:rsid w:val="002173BA"/>
    <w:rsid w:val="002173D5"/>
    <w:rsid w:val="002177B2"/>
    <w:rsid w:val="002177C4"/>
    <w:rsid w:val="00217B48"/>
    <w:rsid w:val="00217FC3"/>
    <w:rsid w:val="00220B85"/>
    <w:rsid w:val="002215B7"/>
    <w:rsid w:val="0022198F"/>
    <w:rsid w:val="00221A6F"/>
    <w:rsid w:val="00222204"/>
    <w:rsid w:val="00222802"/>
    <w:rsid w:val="00223560"/>
    <w:rsid w:val="00223758"/>
    <w:rsid w:val="0022382D"/>
    <w:rsid w:val="0022397F"/>
    <w:rsid w:val="002252EB"/>
    <w:rsid w:val="00226089"/>
    <w:rsid w:val="0022613E"/>
    <w:rsid w:val="00226535"/>
    <w:rsid w:val="00226CCF"/>
    <w:rsid w:val="00227251"/>
    <w:rsid w:val="0022790F"/>
    <w:rsid w:val="00227927"/>
    <w:rsid w:val="00227B5A"/>
    <w:rsid w:val="0023000B"/>
    <w:rsid w:val="00230566"/>
    <w:rsid w:val="002309E2"/>
    <w:rsid w:val="00231F6E"/>
    <w:rsid w:val="002322CB"/>
    <w:rsid w:val="002325E3"/>
    <w:rsid w:val="002326A0"/>
    <w:rsid w:val="00232B39"/>
    <w:rsid w:val="002333F0"/>
    <w:rsid w:val="00233AA7"/>
    <w:rsid w:val="00233B67"/>
    <w:rsid w:val="00233DDC"/>
    <w:rsid w:val="0023484D"/>
    <w:rsid w:val="002349F4"/>
    <w:rsid w:val="00234D35"/>
    <w:rsid w:val="00236328"/>
    <w:rsid w:val="0023658F"/>
    <w:rsid w:val="00236B26"/>
    <w:rsid w:val="00236E61"/>
    <w:rsid w:val="002371AE"/>
    <w:rsid w:val="002404D0"/>
    <w:rsid w:val="00241BB7"/>
    <w:rsid w:val="002422E7"/>
    <w:rsid w:val="00243027"/>
    <w:rsid w:val="002434D1"/>
    <w:rsid w:val="00243AFE"/>
    <w:rsid w:val="002444E2"/>
    <w:rsid w:val="00245FCF"/>
    <w:rsid w:val="00246040"/>
    <w:rsid w:val="00246273"/>
    <w:rsid w:val="002465B5"/>
    <w:rsid w:val="00246FD7"/>
    <w:rsid w:val="00247495"/>
    <w:rsid w:val="00247577"/>
    <w:rsid w:val="00247EEC"/>
    <w:rsid w:val="002500F5"/>
    <w:rsid w:val="00251680"/>
    <w:rsid w:val="002516B1"/>
    <w:rsid w:val="00252540"/>
    <w:rsid w:val="00253169"/>
    <w:rsid w:val="00253874"/>
    <w:rsid w:val="00253B46"/>
    <w:rsid w:val="0025429B"/>
    <w:rsid w:val="00254B28"/>
    <w:rsid w:val="00254E37"/>
    <w:rsid w:val="002557DE"/>
    <w:rsid w:val="00255C01"/>
    <w:rsid w:val="00255DB1"/>
    <w:rsid w:val="002565A0"/>
    <w:rsid w:val="002569CD"/>
    <w:rsid w:val="00256A81"/>
    <w:rsid w:val="00256D94"/>
    <w:rsid w:val="00256F91"/>
    <w:rsid w:val="00257B5C"/>
    <w:rsid w:val="00261612"/>
    <w:rsid w:val="002625B9"/>
    <w:rsid w:val="00262D79"/>
    <w:rsid w:val="002630C4"/>
    <w:rsid w:val="0026336C"/>
    <w:rsid w:val="0026336E"/>
    <w:rsid w:val="002635B9"/>
    <w:rsid w:val="00264139"/>
    <w:rsid w:val="00264E7A"/>
    <w:rsid w:val="002652DE"/>
    <w:rsid w:val="002652FF"/>
    <w:rsid w:val="0026530B"/>
    <w:rsid w:val="002654FE"/>
    <w:rsid w:val="00265620"/>
    <w:rsid w:val="00265CBE"/>
    <w:rsid w:val="00265F45"/>
    <w:rsid w:val="002665B0"/>
    <w:rsid w:val="002668F5"/>
    <w:rsid w:val="0026731F"/>
    <w:rsid w:val="0026769F"/>
    <w:rsid w:val="002676D2"/>
    <w:rsid w:val="002678DA"/>
    <w:rsid w:val="0027004F"/>
    <w:rsid w:val="00270203"/>
    <w:rsid w:val="0027072F"/>
    <w:rsid w:val="00270F30"/>
    <w:rsid w:val="00270FAD"/>
    <w:rsid w:val="00272B5F"/>
    <w:rsid w:val="002732A9"/>
    <w:rsid w:val="00274993"/>
    <w:rsid w:val="002753CA"/>
    <w:rsid w:val="00275744"/>
    <w:rsid w:val="002757C7"/>
    <w:rsid w:val="002763F0"/>
    <w:rsid w:val="00276440"/>
    <w:rsid w:val="00277480"/>
    <w:rsid w:val="00277E0D"/>
    <w:rsid w:val="002800B0"/>
    <w:rsid w:val="0028066D"/>
    <w:rsid w:val="00280A74"/>
    <w:rsid w:val="00280AA8"/>
    <w:rsid w:val="002817E2"/>
    <w:rsid w:val="0028187F"/>
    <w:rsid w:val="00281897"/>
    <w:rsid w:val="00281D04"/>
    <w:rsid w:val="00282446"/>
    <w:rsid w:val="00282549"/>
    <w:rsid w:val="002828DF"/>
    <w:rsid w:val="00282BE7"/>
    <w:rsid w:val="00282CAA"/>
    <w:rsid w:val="00282FB0"/>
    <w:rsid w:val="002835DF"/>
    <w:rsid w:val="00283821"/>
    <w:rsid w:val="00283FA3"/>
    <w:rsid w:val="002841BB"/>
    <w:rsid w:val="00284672"/>
    <w:rsid w:val="00284A4E"/>
    <w:rsid w:val="00284D9E"/>
    <w:rsid w:val="00285171"/>
    <w:rsid w:val="002858FB"/>
    <w:rsid w:val="00286140"/>
    <w:rsid w:val="00286703"/>
    <w:rsid w:val="0028698D"/>
    <w:rsid w:val="00287129"/>
    <w:rsid w:val="002879F0"/>
    <w:rsid w:val="00290148"/>
    <w:rsid w:val="002904E9"/>
    <w:rsid w:val="00290B64"/>
    <w:rsid w:val="002913EF"/>
    <w:rsid w:val="00291FCC"/>
    <w:rsid w:val="0029295B"/>
    <w:rsid w:val="002931A7"/>
    <w:rsid w:val="00293864"/>
    <w:rsid w:val="00293CF0"/>
    <w:rsid w:val="00294542"/>
    <w:rsid w:val="00294CDD"/>
    <w:rsid w:val="00294E76"/>
    <w:rsid w:val="00295CA9"/>
    <w:rsid w:val="00296DA5"/>
    <w:rsid w:val="002976D8"/>
    <w:rsid w:val="00297899"/>
    <w:rsid w:val="002A01C3"/>
    <w:rsid w:val="002A03B6"/>
    <w:rsid w:val="002A0D9B"/>
    <w:rsid w:val="002A1372"/>
    <w:rsid w:val="002A1AD7"/>
    <w:rsid w:val="002A1C3F"/>
    <w:rsid w:val="002A1C4E"/>
    <w:rsid w:val="002A29EB"/>
    <w:rsid w:val="002A2D9F"/>
    <w:rsid w:val="002A38AB"/>
    <w:rsid w:val="002A3BA8"/>
    <w:rsid w:val="002A3CD7"/>
    <w:rsid w:val="002A4113"/>
    <w:rsid w:val="002A48B2"/>
    <w:rsid w:val="002A4D15"/>
    <w:rsid w:val="002A502D"/>
    <w:rsid w:val="002A50E9"/>
    <w:rsid w:val="002A56B7"/>
    <w:rsid w:val="002A57F9"/>
    <w:rsid w:val="002A5B62"/>
    <w:rsid w:val="002A650A"/>
    <w:rsid w:val="002A6930"/>
    <w:rsid w:val="002A6B20"/>
    <w:rsid w:val="002A7F79"/>
    <w:rsid w:val="002B06C9"/>
    <w:rsid w:val="002B07AD"/>
    <w:rsid w:val="002B171C"/>
    <w:rsid w:val="002B2464"/>
    <w:rsid w:val="002B26F3"/>
    <w:rsid w:val="002B2A4F"/>
    <w:rsid w:val="002B330B"/>
    <w:rsid w:val="002B3466"/>
    <w:rsid w:val="002B3D6A"/>
    <w:rsid w:val="002B4702"/>
    <w:rsid w:val="002B57B2"/>
    <w:rsid w:val="002B66D9"/>
    <w:rsid w:val="002B7CBB"/>
    <w:rsid w:val="002C0054"/>
    <w:rsid w:val="002C01C4"/>
    <w:rsid w:val="002C02AA"/>
    <w:rsid w:val="002C0389"/>
    <w:rsid w:val="002C0A0B"/>
    <w:rsid w:val="002C0D99"/>
    <w:rsid w:val="002C0EBB"/>
    <w:rsid w:val="002C2434"/>
    <w:rsid w:val="002C309D"/>
    <w:rsid w:val="002C385B"/>
    <w:rsid w:val="002C3D10"/>
    <w:rsid w:val="002C405E"/>
    <w:rsid w:val="002C4089"/>
    <w:rsid w:val="002C4198"/>
    <w:rsid w:val="002C5573"/>
    <w:rsid w:val="002C5794"/>
    <w:rsid w:val="002C5840"/>
    <w:rsid w:val="002C5997"/>
    <w:rsid w:val="002C59CF"/>
    <w:rsid w:val="002C5AB8"/>
    <w:rsid w:val="002C63FD"/>
    <w:rsid w:val="002C64F9"/>
    <w:rsid w:val="002C6851"/>
    <w:rsid w:val="002C6DF1"/>
    <w:rsid w:val="002C77FB"/>
    <w:rsid w:val="002C7AC0"/>
    <w:rsid w:val="002C7CF0"/>
    <w:rsid w:val="002C7E40"/>
    <w:rsid w:val="002D072D"/>
    <w:rsid w:val="002D1374"/>
    <w:rsid w:val="002D1EC8"/>
    <w:rsid w:val="002D22B6"/>
    <w:rsid w:val="002D2936"/>
    <w:rsid w:val="002D2B25"/>
    <w:rsid w:val="002D2ED4"/>
    <w:rsid w:val="002D2F34"/>
    <w:rsid w:val="002D3148"/>
    <w:rsid w:val="002D33A8"/>
    <w:rsid w:val="002D389A"/>
    <w:rsid w:val="002D3C36"/>
    <w:rsid w:val="002D402A"/>
    <w:rsid w:val="002D473D"/>
    <w:rsid w:val="002D478D"/>
    <w:rsid w:val="002D5410"/>
    <w:rsid w:val="002D5576"/>
    <w:rsid w:val="002D5D2A"/>
    <w:rsid w:val="002D6293"/>
    <w:rsid w:val="002D6523"/>
    <w:rsid w:val="002D66EA"/>
    <w:rsid w:val="002D692F"/>
    <w:rsid w:val="002D6AC2"/>
    <w:rsid w:val="002D6D81"/>
    <w:rsid w:val="002D72A4"/>
    <w:rsid w:val="002D7AF8"/>
    <w:rsid w:val="002D7F5A"/>
    <w:rsid w:val="002E05F2"/>
    <w:rsid w:val="002E14BF"/>
    <w:rsid w:val="002E1C17"/>
    <w:rsid w:val="002E2175"/>
    <w:rsid w:val="002E250E"/>
    <w:rsid w:val="002E2759"/>
    <w:rsid w:val="002E2CC6"/>
    <w:rsid w:val="002E331C"/>
    <w:rsid w:val="002E36FC"/>
    <w:rsid w:val="002E406F"/>
    <w:rsid w:val="002E456D"/>
    <w:rsid w:val="002E48ED"/>
    <w:rsid w:val="002E4DC7"/>
    <w:rsid w:val="002E5FFD"/>
    <w:rsid w:val="002E60A0"/>
    <w:rsid w:val="002E6E82"/>
    <w:rsid w:val="002E70D1"/>
    <w:rsid w:val="002E724A"/>
    <w:rsid w:val="002E75A9"/>
    <w:rsid w:val="002E79BE"/>
    <w:rsid w:val="002E79C1"/>
    <w:rsid w:val="002F083D"/>
    <w:rsid w:val="002F0AA8"/>
    <w:rsid w:val="002F0B9A"/>
    <w:rsid w:val="002F1F93"/>
    <w:rsid w:val="002F2325"/>
    <w:rsid w:val="002F2413"/>
    <w:rsid w:val="002F327F"/>
    <w:rsid w:val="002F3504"/>
    <w:rsid w:val="002F3719"/>
    <w:rsid w:val="002F3973"/>
    <w:rsid w:val="002F39BE"/>
    <w:rsid w:val="002F3BAD"/>
    <w:rsid w:val="002F3D90"/>
    <w:rsid w:val="002F3F32"/>
    <w:rsid w:val="002F3F93"/>
    <w:rsid w:val="002F4B74"/>
    <w:rsid w:val="002F60E9"/>
    <w:rsid w:val="002F774C"/>
    <w:rsid w:val="002F78AB"/>
    <w:rsid w:val="002F78C1"/>
    <w:rsid w:val="002F794B"/>
    <w:rsid w:val="00300242"/>
    <w:rsid w:val="003002E9"/>
    <w:rsid w:val="00301939"/>
    <w:rsid w:val="0030195A"/>
    <w:rsid w:val="00301D4E"/>
    <w:rsid w:val="00301FBC"/>
    <w:rsid w:val="003025DF"/>
    <w:rsid w:val="00302898"/>
    <w:rsid w:val="00302D8D"/>
    <w:rsid w:val="00303817"/>
    <w:rsid w:val="00303FA7"/>
    <w:rsid w:val="00304242"/>
    <w:rsid w:val="003044BB"/>
    <w:rsid w:val="003051B8"/>
    <w:rsid w:val="003052A1"/>
    <w:rsid w:val="0030576A"/>
    <w:rsid w:val="00305887"/>
    <w:rsid w:val="00305D9F"/>
    <w:rsid w:val="00305DEA"/>
    <w:rsid w:val="003062AA"/>
    <w:rsid w:val="00306B6A"/>
    <w:rsid w:val="00307F5C"/>
    <w:rsid w:val="00310056"/>
    <w:rsid w:val="00310977"/>
    <w:rsid w:val="0031101F"/>
    <w:rsid w:val="00311782"/>
    <w:rsid w:val="003119C9"/>
    <w:rsid w:val="00311EBA"/>
    <w:rsid w:val="003127CC"/>
    <w:rsid w:val="003127F6"/>
    <w:rsid w:val="00312F7E"/>
    <w:rsid w:val="00313A5E"/>
    <w:rsid w:val="00313B38"/>
    <w:rsid w:val="00313CC8"/>
    <w:rsid w:val="00314553"/>
    <w:rsid w:val="003146D8"/>
    <w:rsid w:val="00314766"/>
    <w:rsid w:val="00314D65"/>
    <w:rsid w:val="00314FB6"/>
    <w:rsid w:val="00315191"/>
    <w:rsid w:val="003155A1"/>
    <w:rsid w:val="00315AE2"/>
    <w:rsid w:val="00316E00"/>
    <w:rsid w:val="00317142"/>
    <w:rsid w:val="00317B02"/>
    <w:rsid w:val="00317B28"/>
    <w:rsid w:val="00317C34"/>
    <w:rsid w:val="00317FB5"/>
    <w:rsid w:val="00320079"/>
    <w:rsid w:val="00320496"/>
    <w:rsid w:val="003204C2"/>
    <w:rsid w:val="0032050D"/>
    <w:rsid w:val="00320515"/>
    <w:rsid w:val="00320969"/>
    <w:rsid w:val="00320B1B"/>
    <w:rsid w:val="00320E69"/>
    <w:rsid w:val="00321C8A"/>
    <w:rsid w:val="00322294"/>
    <w:rsid w:val="00322666"/>
    <w:rsid w:val="003235E1"/>
    <w:rsid w:val="003237D7"/>
    <w:rsid w:val="0032488B"/>
    <w:rsid w:val="00324C6D"/>
    <w:rsid w:val="0032604D"/>
    <w:rsid w:val="003262B1"/>
    <w:rsid w:val="003267C9"/>
    <w:rsid w:val="00326B39"/>
    <w:rsid w:val="00326D38"/>
    <w:rsid w:val="00327096"/>
    <w:rsid w:val="0032733C"/>
    <w:rsid w:val="003274D8"/>
    <w:rsid w:val="0033022D"/>
    <w:rsid w:val="003302F0"/>
    <w:rsid w:val="00330424"/>
    <w:rsid w:val="00330D4D"/>
    <w:rsid w:val="00330E4A"/>
    <w:rsid w:val="00330F2E"/>
    <w:rsid w:val="003312F6"/>
    <w:rsid w:val="00331A2B"/>
    <w:rsid w:val="00332A49"/>
    <w:rsid w:val="00333C47"/>
    <w:rsid w:val="003347E0"/>
    <w:rsid w:val="003358FA"/>
    <w:rsid w:val="00335E75"/>
    <w:rsid w:val="00335EC8"/>
    <w:rsid w:val="00336C60"/>
    <w:rsid w:val="00336CFF"/>
    <w:rsid w:val="00336F5E"/>
    <w:rsid w:val="003370C5"/>
    <w:rsid w:val="00337ABB"/>
    <w:rsid w:val="00340C9D"/>
    <w:rsid w:val="003415EB"/>
    <w:rsid w:val="00341740"/>
    <w:rsid w:val="00341795"/>
    <w:rsid w:val="003418BD"/>
    <w:rsid w:val="00342BEE"/>
    <w:rsid w:val="003436EF"/>
    <w:rsid w:val="00343B87"/>
    <w:rsid w:val="00343C5E"/>
    <w:rsid w:val="003458E0"/>
    <w:rsid w:val="00346FDA"/>
    <w:rsid w:val="003470AB"/>
    <w:rsid w:val="0034733E"/>
    <w:rsid w:val="00347541"/>
    <w:rsid w:val="00350199"/>
    <w:rsid w:val="003502B5"/>
    <w:rsid w:val="00350325"/>
    <w:rsid w:val="003505AB"/>
    <w:rsid w:val="003517F0"/>
    <w:rsid w:val="003518A7"/>
    <w:rsid w:val="00351B5A"/>
    <w:rsid w:val="00351EC1"/>
    <w:rsid w:val="00351F24"/>
    <w:rsid w:val="00352150"/>
    <w:rsid w:val="00352386"/>
    <w:rsid w:val="00352493"/>
    <w:rsid w:val="003528B4"/>
    <w:rsid w:val="003529D8"/>
    <w:rsid w:val="00353F1D"/>
    <w:rsid w:val="00354C65"/>
    <w:rsid w:val="00356F8E"/>
    <w:rsid w:val="0036034D"/>
    <w:rsid w:val="00360556"/>
    <w:rsid w:val="00361456"/>
    <w:rsid w:val="003619CF"/>
    <w:rsid w:val="00361D01"/>
    <w:rsid w:val="00361E7A"/>
    <w:rsid w:val="00362768"/>
    <w:rsid w:val="0036298D"/>
    <w:rsid w:val="00362CCA"/>
    <w:rsid w:val="00363113"/>
    <w:rsid w:val="00363320"/>
    <w:rsid w:val="00363466"/>
    <w:rsid w:val="00363477"/>
    <w:rsid w:val="00363715"/>
    <w:rsid w:val="00363790"/>
    <w:rsid w:val="003637E2"/>
    <w:rsid w:val="00364642"/>
    <w:rsid w:val="00364A6B"/>
    <w:rsid w:val="0036618E"/>
    <w:rsid w:val="00367110"/>
    <w:rsid w:val="00367265"/>
    <w:rsid w:val="003678B1"/>
    <w:rsid w:val="003678C2"/>
    <w:rsid w:val="00370151"/>
    <w:rsid w:val="0037032A"/>
    <w:rsid w:val="0037039D"/>
    <w:rsid w:val="00371899"/>
    <w:rsid w:val="0037286E"/>
    <w:rsid w:val="00373A73"/>
    <w:rsid w:val="003741BC"/>
    <w:rsid w:val="0037573C"/>
    <w:rsid w:val="003758D1"/>
    <w:rsid w:val="00375B11"/>
    <w:rsid w:val="00375C60"/>
    <w:rsid w:val="003765A4"/>
    <w:rsid w:val="00376675"/>
    <w:rsid w:val="003766DA"/>
    <w:rsid w:val="003770B7"/>
    <w:rsid w:val="00377418"/>
    <w:rsid w:val="00377761"/>
    <w:rsid w:val="003777B8"/>
    <w:rsid w:val="00377CC8"/>
    <w:rsid w:val="00377D44"/>
    <w:rsid w:val="00377E0E"/>
    <w:rsid w:val="00380816"/>
    <w:rsid w:val="00380E2C"/>
    <w:rsid w:val="00380E3F"/>
    <w:rsid w:val="00380F57"/>
    <w:rsid w:val="003821FB"/>
    <w:rsid w:val="003829DD"/>
    <w:rsid w:val="00383402"/>
    <w:rsid w:val="00383EBA"/>
    <w:rsid w:val="0038461B"/>
    <w:rsid w:val="00384852"/>
    <w:rsid w:val="00384B04"/>
    <w:rsid w:val="00384C34"/>
    <w:rsid w:val="00384E1C"/>
    <w:rsid w:val="0038531C"/>
    <w:rsid w:val="00385591"/>
    <w:rsid w:val="00385646"/>
    <w:rsid w:val="00385E87"/>
    <w:rsid w:val="00386407"/>
    <w:rsid w:val="003866BB"/>
    <w:rsid w:val="00386D92"/>
    <w:rsid w:val="003874D1"/>
    <w:rsid w:val="003877BC"/>
    <w:rsid w:val="003879FC"/>
    <w:rsid w:val="00387D38"/>
    <w:rsid w:val="00387FEC"/>
    <w:rsid w:val="00390C37"/>
    <w:rsid w:val="00390E1B"/>
    <w:rsid w:val="0039149A"/>
    <w:rsid w:val="00392F0D"/>
    <w:rsid w:val="00392F91"/>
    <w:rsid w:val="00393A03"/>
    <w:rsid w:val="00393C09"/>
    <w:rsid w:val="00393EB5"/>
    <w:rsid w:val="003945E2"/>
    <w:rsid w:val="003956AE"/>
    <w:rsid w:val="00395EF8"/>
    <w:rsid w:val="0039678D"/>
    <w:rsid w:val="0039688B"/>
    <w:rsid w:val="00396E55"/>
    <w:rsid w:val="00397F20"/>
    <w:rsid w:val="003A00A3"/>
    <w:rsid w:val="003A034B"/>
    <w:rsid w:val="003A0AA4"/>
    <w:rsid w:val="003A0C6E"/>
    <w:rsid w:val="003A144B"/>
    <w:rsid w:val="003A17E9"/>
    <w:rsid w:val="003A1E39"/>
    <w:rsid w:val="003A20AB"/>
    <w:rsid w:val="003A23E3"/>
    <w:rsid w:val="003A240B"/>
    <w:rsid w:val="003A26C0"/>
    <w:rsid w:val="003A2CC4"/>
    <w:rsid w:val="003A3138"/>
    <w:rsid w:val="003A4033"/>
    <w:rsid w:val="003A4F68"/>
    <w:rsid w:val="003A5325"/>
    <w:rsid w:val="003A5495"/>
    <w:rsid w:val="003A58FB"/>
    <w:rsid w:val="003A5B5D"/>
    <w:rsid w:val="003A673A"/>
    <w:rsid w:val="003A7127"/>
    <w:rsid w:val="003A73A5"/>
    <w:rsid w:val="003B05CF"/>
    <w:rsid w:val="003B0680"/>
    <w:rsid w:val="003B0785"/>
    <w:rsid w:val="003B0A2C"/>
    <w:rsid w:val="003B0E0F"/>
    <w:rsid w:val="003B0F6A"/>
    <w:rsid w:val="003B15D7"/>
    <w:rsid w:val="003B1EE8"/>
    <w:rsid w:val="003B283F"/>
    <w:rsid w:val="003B2ECE"/>
    <w:rsid w:val="003B2F44"/>
    <w:rsid w:val="003B2F95"/>
    <w:rsid w:val="003B3283"/>
    <w:rsid w:val="003B34D7"/>
    <w:rsid w:val="003B3B8B"/>
    <w:rsid w:val="003B42B7"/>
    <w:rsid w:val="003B5604"/>
    <w:rsid w:val="003B5757"/>
    <w:rsid w:val="003B5D7D"/>
    <w:rsid w:val="003B5FB6"/>
    <w:rsid w:val="003B6045"/>
    <w:rsid w:val="003B63C8"/>
    <w:rsid w:val="003B695E"/>
    <w:rsid w:val="003B6AB6"/>
    <w:rsid w:val="003B721F"/>
    <w:rsid w:val="003B7271"/>
    <w:rsid w:val="003C153F"/>
    <w:rsid w:val="003C158A"/>
    <w:rsid w:val="003C287B"/>
    <w:rsid w:val="003C2957"/>
    <w:rsid w:val="003C2BD6"/>
    <w:rsid w:val="003C2D04"/>
    <w:rsid w:val="003C355B"/>
    <w:rsid w:val="003C3CD1"/>
    <w:rsid w:val="003C4A27"/>
    <w:rsid w:val="003C4A30"/>
    <w:rsid w:val="003C4ACF"/>
    <w:rsid w:val="003C5123"/>
    <w:rsid w:val="003C527A"/>
    <w:rsid w:val="003C5559"/>
    <w:rsid w:val="003C5ACB"/>
    <w:rsid w:val="003C5D0F"/>
    <w:rsid w:val="003C6811"/>
    <w:rsid w:val="003C74B9"/>
    <w:rsid w:val="003C7B1F"/>
    <w:rsid w:val="003C7C5C"/>
    <w:rsid w:val="003C7DD6"/>
    <w:rsid w:val="003C7FDD"/>
    <w:rsid w:val="003D0382"/>
    <w:rsid w:val="003D0886"/>
    <w:rsid w:val="003D11B9"/>
    <w:rsid w:val="003D14AE"/>
    <w:rsid w:val="003D16D4"/>
    <w:rsid w:val="003D1E27"/>
    <w:rsid w:val="003D2597"/>
    <w:rsid w:val="003D2B00"/>
    <w:rsid w:val="003D3A8D"/>
    <w:rsid w:val="003D3D70"/>
    <w:rsid w:val="003D3FFA"/>
    <w:rsid w:val="003D400D"/>
    <w:rsid w:val="003D436E"/>
    <w:rsid w:val="003D4497"/>
    <w:rsid w:val="003D4715"/>
    <w:rsid w:val="003D4805"/>
    <w:rsid w:val="003D4EFE"/>
    <w:rsid w:val="003D5444"/>
    <w:rsid w:val="003D580C"/>
    <w:rsid w:val="003D60CE"/>
    <w:rsid w:val="003D7182"/>
    <w:rsid w:val="003D75CE"/>
    <w:rsid w:val="003E00DC"/>
    <w:rsid w:val="003E09D4"/>
    <w:rsid w:val="003E0A11"/>
    <w:rsid w:val="003E0A66"/>
    <w:rsid w:val="003E0F83"/>
    <w:rsid w:val="003E2433"/>
    <w:rsid w:val="003E25CF"/>
    <w:rsid w:val="003E3086"/>
    <w:rsid w:val="003E3264"/>
    <w:rsid w:val="003E37E7"/>
    <w:rsid w:val="003E3898"/>
    <w:rsid w:val="003E4046"/>
    <w:rsid w:val="003E47E8"/>
    <w:rsid w:val="003E4A01"/>
    <w:rsid w:val="003E4D0C"/>
    <w:rsid w:val="003E4FE2"/>
    <w:rsid w:val="003E5C6E"/>
    <w:rsid w:val="003E5FE4"/>
    <w:rsid w:val="003E619A"/>
    <w:rsid w:val="003E6B58"/>
    <w:rsid w:val="003E6CEE"/>
    <w:rsid w:val="003E71A1"/>
    <w:rsid w:val="003E7650"/>
    <w:rsid w:val="003E79FC"/>
    <w:rsid w:val="003E7EE2"/>
    <w:rsid w:val="003F01EF"/>
    <w:rsid w:val="003F0420"/>
    <w:rsid w:val="003F07B9"/>
    <w:rsid w:val="003F0B63"/>
    <w:rsid w:val="003F0BF7"/>
    <w:rsid w:val="003F18F1"/>
    <w:rsid w:val="003F19A3"/>
    <w:rsid w:val="003F2D54"/>
    <w:rsid w:val="003F3173"/>
    <w:rsid w:val="003F469D"/>
    <w:rsid w:val="003F486A"/>
    <w:rsid w:val="003F4B6E"/>
    <w:rsid w:val="003F5261"/>
    <w:rsid w:val="003F56EF"/>
    <w:rsid w:val="003F5C8E"/>
    <w:rsid w:val="003F60A3"/>
    <w:rsid w:val="003F7705"/>
    <w:rsid w:val="003F772F"/>
    <w:rsid w:val="003F7BCE"/>
    <w:rsid w:val="0040053F"/>
    <w:rsid w:val="00400578"/>
    <w:rsid w:val="0040089D"/>
    <w:rsid w:val="00400B4E"/>
    <w:rsid w:val="00400E17"/>
    <w:rsid w:val="00401E05"/>
    <w:rsid w:val="0040210F"/>
    <w:rsid w:val="0040250D"/>
    <w:rsid w:val="0040260F"/>
    <w:rsid w:val="004028C4"/>
    <w:rsid w:val="00402CE9"/>
    <w:rsid w:val="00402DEE"/>
    <w:rsid w:val="00403326"/>
    <w:rsid w:val="00403490"/>
    <w:rsid w:val="0040368C"/>
    <w:rsid w:val="00403743"/>
    <w:rsid w:val="00403C0E"/>
    <w:rsid w:val="00404EF8"/>
    <w:rsid w:val="004050CC"/>
    <w:rsid w:val="00405567"/>
    <w:rsid w:val="00405B57"/>
    <w:rsid w:val="00405F15"/>
    <w:rsid w:val="00406053"/>
    <w:rsid w:val="0040607E"/>
    <w:rsid w:val="004064D5"/>
    <w:rsid w:val="004071B1"/>
    <w:rsid w:val="004113E4"/>
    <w:rsid w:val="00411928"/>
    <w:rsid w:val="00412115"/>
    <w:rsid w:val="00412449"/>
    <w:rsid w:val="00412701"/>
    <w:rsid w:val="00412AF9"/>
    <w:rsid w:val="00412CA1"/>
    <w:rsid w:val="00412DBF"/>
    <w:rsid w:val="00412EAD"/>
    <w:rsid w:val="00413015"/>
    <w:rsid w:val="004138B8"/>
    <w:rsid w:val="00413E54"/>
    <w:rsid w:val="00413EB9"/>
    <w:rsid w:val="004143D1"/>
    <w:rsid w:val="004143E9"/>
    <w:rsid w:val="00414977"/>
    <w:rsid w:val="00414F46"/>
    <w:rsid w:val="00415410"/>
    <w:rsid w:val="00415B0A"/>
    <w:rsid w:val="004169C1"/>
    <w:rsid w:val="00416E6D"/>
    <w:rsid w:val="00416EA5"/>
    <w:rsid w:val="00417098"/>
    <w:rsid w:val="004174EC"/>
    <w:rsid w:val="004177B3"/>
    <w:rsid w:val="00417D29"/>
    <w:rsid w:val="00417DDB"/>
    <w:rsid w:val="00420738"/>
    <w:rsid w:val="00420A29"/>
    <w:rsid w:val="00420A4D"/>
    <w:rsid w:val="00420CA4"/>
    <w:rsid w:val="004212E2"/>
    <w:rsid w:val="00421586"/>
    <w:rsid w:val="00422500"/>
    <w:rsid w:val="00422E2F"/>
    <w:rsid w:val="00422FA4"/>
    <w:rsid w:val="004231D3"/>
    <w:rsid w:val="0042368C"/>
    <w:rsid w:val="004237B6"/>
    <w:rsid w:val="00423815"/>
    <w:rsid w:val="00424DB5"/>
    <w:rsid w:val="00424DF7"/>
    <w:rsid w:val="00425533"/>
    <w:rsid w:val="004266AB"/>
    <w:rsid w:val="00426F52"/>
    <w:rsid w:val="00427303"/>
    <w:rsid w:val="00430197"/>
    <w:rsid w:val="0043079A"/>
    <w:rsid w:val="004309B2"/>
    <w:rsid w:val="00430ADC"/>
    <w:rsid w:val="00430E90"/>
    <w:rsid w:val="0043163C"/>
    <w:rsid w:val="00432F87"/>
    <w:rsid w:val="00433426"/>
    <w:rsid w:val="00433A7E"/>
    <w:rsid w:val="00434357"/>
    <w:rsid w:val="0043448E"/>
    <w:rsid w:val="00434C61"/>
    <w:rsid w:val="00435103"/>
    <w:rsid w:val="0043594D"/>
    <w:rsid w:val="00435CEE"/>
    <w:rsid w:val="00435E48"/>
    <w:rsid w:val="00435FE1"/>
    <w:rsid w:val="004367D1"/>
    <w:rsid w:val="0043696D"/>
    <w:rsid w:val="004372FB"/>
    <w:rsid w:val="00437709"/>
    <w:rsid w:val="0043799A"/>
    <w:rsid w:val="004403B0"/>
    <w:rsid w:val="0044094E"/>
    <w:rsid w:val="00441240"/>
    <w:rsid w:val="004429A0"/>
    <w:rsid w:val="00442E63"/>
    <w:rsid w:val="00442EB5"/>
    <w:rsid w:val="00444416"/>
    <w:rsid w:val="004446AF"/>
    <w:rsid w:val="00444D6C"/>
    <w:rsid w:val="0044552F"/>
    <w:rsid w:val="0044565A"/>
    <w:rsid w:val="00445CE7"/>
    <w:rsid w:val="00450139"/>
    <w:rsid w:val="00450293"/>
    <w:rsid w:val="0045097C"/>
    <w:rsid w:val="00450A79"/>
    <w:rsid w:val="004515DA"/>
    <w:rsid w:val="00451959"/>
    <w:rsid w:val="004528A4"/>
    <w:rsid w:val="004532A1"/>
    <w:rsid w:val="00453B70"/>
    <w:rsid w:val="00453C66"/>
    <w:rsid w:val="00453D1C"/>
    <w:rsid w:val="004541ED"/>
    <w:rsid w:val="0045441C"/>
    <w:rsid w:val="00455012"/>
    <w:rsid w:val="004559BA"/>
    <w:rsid w:val="00455CA4"/>
    <w:rsid w:val="00456654"/>
    <w:rsid w:val="00456B8B"/>
    <w:rsid w:val="0046064F"/>
    <w:rsid w:val="0046073A"/>
    <w:rsid w:val="00460AF6"/>
    <w:rsid w:val="00460EB4"/>
    <w:rsid w:val="00461795"/>
    <w:rsid w:val="0046189C"/>
    <w:rsid w:val="00461A15"/>
    <w:rsid w:val="00462DC1"/>
    <w:rsid w:val="00463475"/>
    <w:rsid w:val="00463CC6"/>
    <w:rsid w:val="004642EE"/>
    <w:rsid w:val="004644EB"/>
    <w:rsid w:val="00464DEB"/>
    <w:rsid w:val="00465783"/>
    <w:rsid w:val="00465A6D"/>
    <w:rsid w:val="004663A5"/>
    <w:rsid w:val="00466FB8"/>
    <w:rsid w:val="00466FD3"/>
    <w:rsid w:val="00467105"/>
    <w:rsid w:val="00467FD5"/>
    <w:rsid w:val="00470D82"/>
    <w:rsid w:val="004715BE"/>
    <w:rsid w:val="00471D11"/>
    <w:rsid w:val="00472017"/>
    <w:rsid w:val="004724E1"/>
    <w:rsid w:val="00472D17"/>
    <w:rsid w:val="00473436"/>
    <w:rsid w:val="00473506"/>
    <w:rsid w:val="004739B3"/>
    <w:rsid w:val="00473A59"/>
    <w:rsid w:val="00473B54"/>
    <w:rsid w:val="00473F66"/>
    <w:rsid w:val="00474360"/>
    <w:rsid w:val="0047464E"/>
    <w:rsid w:val="00475A7E"/>
    <w:rsid w:val="00475B9D"/>
    <w:rsid w:val="00476257"/>
    <w:rsid w:val="004768D0"/>
    <w:rsid w:val="004768F0"/>
    <w:rsid w:val="00476BD0"/>
    <w:rsid w:val="00476BDA"/>
    <w:rsid w:val="00477385"/>
    <w:rsid w:val="00477692"/>
    <w:rsid w:val="00477893"/>
    <w:rsid w:val="004805E9"/>
    <w:rsid w:val="00480C6E"/>
    <w:rsid w:val="0048142A"/>
    <w:rsid w:val="004817D8"/>
    <w:rsid w:val="00481CE7"/>
    <w:rsid w:val="004825D6"/>
    <w:rsid w:val="00483F3B"/>
    <w:rsid w:val="0048401E"/>
    <w:rsid w:val="004840D5"/>
    <w:rsid w:val="00484115"/>
    <w:rsid w:val="004842BA"/>
    <w:rsid w:val="0048479F"/>
    <w:rsid w:val="00485709"/>
    <w:rsid w:val="00485C63"/>
    <w:rsid w:val="00486363"/>
    <w:rsid w:val="00486429"/>
    <w:rsid w:val="00487E29"/>
    <w:rsid w:val="00487EDA"/>
    <w:rsid w:val="00487F69"/>
    <w:rsid w:val="004901C4"/>
    <w:rsid w:val="004904F1"/>
    <w:rsid w:val="0049059D"/>
    <w:rsid w:val="00490B6E"/>
    <w:rsid w:val="004910A8"/>
    <w:rsid w:val="00491CC6"/>
    <w:rsid w:val="004921C6"/>
    <w:rsid w:val="00492235"/>
    <w:rsid w:val="00492912"/>
    <w:rsid w:val="00492CB4"/>
    <w:rsid w:val="00492F8F"/>
    <w:rsid w:val="00493550"/>
    <w:rsid w:val="00493B08"/>
    <w:rsid w:val="00494288"/>
    <w:rsid w:val="0049446C"/>
    <w:rsid w:val="004946ED"/>
    <w:rsid w:val="00494AD6"/>
    <w:rsid w:val="004950AA"/>
    <w:rsid w:val="00495142"/>
    <w:rsid w:val="00495457"/>
    <w:rsid w:val="00495A7A"/>
    <w:rsid w:val="004961AB"/>
    <w:rsid w:val="00496347"/>
    <w:rsid w:val="00496510"/>
    <w:rsid w:val="004969F4"/>
    <w:rsid w:val="00496BD9"/>
    <w:rsid w:val="00496CEF"/>
    <w:rsid w:val="00496D31"/>
    <w:rsid w:val="00497237"/>
    <w:rsid w:val="004973D1"/>
    <w:rsid w:val="00497685"/>
    <w:rsid w:val="0049788B"/>
    <w:rsid w:val="00497B81"/>
    <w:rsid w:val="00497CA1"/>
    <w:rsid w:val="004A13A2"/>
    <w:rsid w:val="004A1836"/>
    <w:rsid w:val="004A1CAC"/>
    <w:rsid w:val="004A1DF0"/>
    <w:rsid w:val="004A2668"/>
    <w:rsid w:val="004A280E"/>
    <w:rsid w:val="004A4AD6"/>
    <w:rsid w:val="004A5227"/>
    <w:rsid w:val="004A695A"/>
    <w:rsid w:val="004A7026"/>
    <w:rsid w:val="004A706E"/>
    <w:rsid w:val="004A7099"/>
    <w:rsid w:val="004A7522"/>
    <w:rsid w:val="004A7660"/>
    <w:rsid w:val="004B00EC"/>
    <w:rsid w:val="004B10DF"/>
    <w:rsid w:val="004B1267"/>
    <w:rsid w:val="004B1303"/>
    <w:rsid w:val="004B1401"/>
    <w:rsid w:val="004B1CB4"/>
    <w:rsid w:val="004B261F"/>
    <w:rsid w:val="004B2887"/>
    <w:rsid w:val="004B297B"/>
    <w:rsid w:val="004B2A8A"/>
    <w:rsid w:val="004B3F78"/>
    <w:rsid w:val="004B4712"/>
    <w:rsid w:val="004B4B4E"/>
    <w:rsid w:val="004B59B5"/>
    <w:rsid w:val="004B782A"/>
    <w:rsid w:val="004B7A89"/>
    <w:rsid w:val="004B7B41"/>
    <w:rsid w:val="004C0327"/>
    <w:rsid w:val="004C0C7E"/>
    <w:rsid w:val="004C103B"/>
    <w:rsid w:val="004C1201"/>
    <w:rsid w:val="004C186B"/>
    <w:rsid w:val="004C2206"/>
    <w:rsid w:val="004C22CE"/>
    <w:rsid w:val="004C3003"/>
    <w:rsid w:val="004C37ED"/>
    <w:rsid w:val="004C3892"/>
    <w:rsid w:val="004C3931"/>
    <w:rsid w:val="004C53A1"/>
    <w:rsid w:val="004C5D98"/>
    <w:rsid w:val="004C76C2"/>
    <w:rsid w:val="004C775D"/>
    <w:rsid w:val="004C7CC4"/>
    <w:rsid w:val="004C7E9D"/>
    <w:rsid w:val="004D06F9"/>
    <w:rsid w:val="004D0B71"/>
    <w:rsid w:val="004D1259"/>
    <w:rsid w:val="004D1303"/>
    <w:rsid w:val="004D18A1"/>
    <w:rsid w:val="004D18CB"/>
    <w:rsid w:val="004D22AD"/>
    <w:rsid w:val="004D284B"/>
    <w:rsid w:val="004D2EA9"/>
    <w:rsid w:val="004D33DE"/>
    <w:rsid w:val="004D3756"/>
    <w:rsid w:val="004D37FA"/>
    <w:rsid w:val="004D39DE"/>
    <w:rsid w:val="004D3EC1"/>
    <w:rsid w:val="004D42A0"/>
    <w:rsid w:val="004D4568"/>
    <w:rsid w:val="004D4A92"/>
    <w:rsid w:val="004D4D6D"/>
    <w:rsid w:val="004D56A0"/>
    <w:rsid w:val="004D6C3C"/>
    <w:rsid w:val="004D74B8"/>
    <w:rsid w:val="004E0081"/>
    <w:rsid w:val="004E2842"/>
    <w:rsid w:val="004E326D"/>
    <w:rsid w:val="004E39C2"/>
    <w:rsid w:val="004E3D40"/>
    <w:rsid w:val="004E4B72"/>
    <w:rsid w:val="004E4D59"/>
    <w:rsid w:val="004E4E57"/>
    <w:rsid w:val="004E4FFB"/>
    <w:rsid w:val="004E50AA"/>
    <w:rsid w:val="004E59EB"/>
    <w:rsid w:val="004E5D02"/>
    <w:rsid w:val="004E6EEE"/>
    <w:rsid w:val="004E701C"/>
    <w:rsid w:val="004E72AC"/>
    <w:rsid w:val="004E76A1"/>
    <w:rsid w:val="004E7B5E"/>
    <w:rsid w:val="004F0248"/>
    <w:rsid w:val="004F054A"/>
    <w:rsid w:val="004F0978"/>
    <w:rsid w:val="004F0C81"/>
    <w:rsid w:val="004F0CFA"/>
    <w:rsid w:val="004F0FFB"/>
    <w:rsid w:val="004F1066"/>
    <w:rsid w:val="004F15E3"/>
    <w:rsid w:val="004F1BDC"/>
    <w:rsid w:val="004F1BF5"/>
    <w:rsid w:val="004F3147"/>
    <w:rsid w:val="004F33C0"/>
    <w:rsid w:val="004F3578"/>
    <w:rsid w:val="004F3B32"/>
    <w:rsid w:val="004F4013"/>
    <w:rsid w:val="004F451B"/>
    <w:rsid w:val="004F45CE"/>
    <w:rsid w:val="004F5F7E"/>
    <w:rsid w:val="004F62F1"/>
    <w:rsid w:val="004F6553"/>
    <w:rsid w:val="004F664F"/>
    <w:rsid w:val="004F674B"/>
    <w:rsid w:val="004F719A"/>
    <w:rsid w:val="004F7305"/>
    <w:rsid w:val="004F75E5"/>
    <w:rsid w:val="004F76D1"/>
    <w:rsid w:val="004F78BF"/>
    <w:rsid w:val="004F7F9B"/>
    <w:rsid w:val="005003E0"/>
    <w:rsid w:val="00500755"/>
    <w:rsid w:val="00500CD3"/>
    <w:rsid w:val="00500CF1"/>
    <w:rsid w:val="00500F17"/>
    <w:rsid w:val="0050238D"/>
    <w:rsid w:val="00502AE0"/>
    <w:rsid w:val="00502DA9"/>
    <w:rsid w:val="0050313F"/>
    <w:rsid w:val="005049E6"/>
    <w:rsid w:val="0050551C"/>
    <w:rsid w:val="005056B8"/>
    <w:rsid w:val="00505789"/>
    <w:rsid w:val="0050623F"/>
    <w:rsid w:val="0050660D"/>
    <w:rsid w:val="00506790"/>
    <w:rsid w:val="0050701C"/>
    <w:rsid w:val="0050773F"/>
    <w:rsid w:val="00507D24"/>
    <w:rsid w:val="0051063A"/>
    <w:rsid w:val="0051070B"/>
    <w:rsid w:val="00511A89"/>
    <w:rsid w:val="005127D7"/>
    <w:rsid w:val="00512A81"/>
    <w:rsid w:val="00512E35"/>
    <w:rsid w:val="00512F05"/>
    <w:rsid w:val="00513B51"/>
    <w:rsid w:val="005149D2"/>
    <w:rsid w:val="0051549A"/>
    <w:rsid w:val="0051565E"/>
    <w:rsid w:val="00515751"/>
    <w:rsid w:val="00515854"/>
    <w:rsid w:val="00515D6C"/>
    <w:rsid w:val="00515EBD"/>
    <w:rsid w:val="00515F46"/>
    <w:rsid w:val="0051722D"/>
    <w:rsid w:val="00517E7D"/>
    <w:rsid w:val="00520088"/>
    <w:rsid w:val="00520B70"/>
    <w:rsid w:val="00520BC4"/>
    <w:rsid w:val="00521132"/>
    <w:rsid w:val="005216F5"/>
    <w:rsid w:val="00521CFC"/>
    <w:rsid w:val="00521D76"/>
    <w:rsid w:val="00521EE2"/>
    <w:rsid w:val="00521F60"/>
    <w:rsid w:val="00522880"/>
    <w:rsid w:val="00522FE9"/>
    <w:rsid w:val="0052336E"/>
    <w:rsid w:val="0052392B"/>
    <w:rsid w:val="0052405C"/>
    <w:rsid w:val="005243EF"/>
    <w:rsid w:val="005244B7"/>
    <w:rsid w:val="0052459F"/>
    <w:rsid w:val="00524A25"/>
    <w:rsid w:val="00524BEB"/>
    <w:rsid w:val="0052638E"/>
    <w:rsid w:val="00526821"/>
    <w:rsid w:val="0052692A"/>
    <w:rsid w:val="00526BD8"/>
    <w:rsid w:val="005270C7"/>
    <w:rsid w:val="005270D7"/>
    <w:rsid w:val="00527C13"/>
    <w:rsid w:val="00527E52"/>
    <w:rsid w:val="0053031A"/>
    <w:rsid w:val="005304E4"/>
    <w:rsid w:val="00530701"/>
    <w:rsid w:val="00530E6E"/>
    <w:rsid w:val="005310FE"/>
    <w:rsid w:val="00531848"/>
    <w:rsid w:val="005320D8"/>
    <w:rsid w:val="0053242F"/>
    <w:rsid w:val="00532525"/>
    <w:rsid w:val="005325D8"/>
    <w:rsid w:val="005327BE"/>
    <w:rsid w:val="00532B8C"/>
    <w:rsid w:val="00532B9C"/>
    <w:rsid w:val="00532EDD"/>
    <w:rsid w:val="00532EFD"/>
    <w:rsid w:val="00533530"/>
    <w:rsid w:val="00534252"/>
    <w:rsid w:val="00534549"/>
    <w:rsid w:val="00534721"/>
    <w:rsid w:val="00534E05"/>
    <w:rsid w:val="00535493"/>
    <w:rsid w:val="0053588B"/>
    <w:rsid w:val="005359B9"/>
    <w:rsid w:val="00536938"/>
    <w:rsid w:val="005369D8"/>
    <w:rsid w:val="00536E48"/>
    <w:rsid w:val="00537559"/>
    <w:rsid w:val="00537E1B"/>
    <w:rsid w:val="0054014A"/>
    <w:rsid w:val="00541637"/>
    <w:rsid w:val="00541B83"/>
    <w:rsid w:val="0054295B"/>
    <w:rsid w:val="00542E1A"/>
    <w:rsid w:val="0054339B"/>
    <w:rsid w:val="005434D1"/>
    <w:rsid w:val="00543A63"/>
    <w:rsid w:val="00543BDE"/>
    <w:rsid w:val="00543CC7"/>
    <w:rsid w:val="00543DA8"/>
    <w:rsid w:val="005444BF"/>
    <w:rsid w:val="005459B0"/>
    <w:rsid w:val="00545BA2"/>
    <w:rsid w:val="00545C36"/>
    <w:rsid w:val="005465B2"/>
    <w:rsid w:val="005478F3"/>
    <w:rsid w:val="00550EF1"/>
    <w:rsid w:val="00551F8B"/>
    <w:rsid w:val="00553839"/>
    <w:rsid w:val="005542FA"/>
    <w:rsid w:val="005543A3"/>
    <w:rsid w:val="005567AB"/>
    <w:rsid w:val="0055733A"/>
    <w:rsid w:val="005573FE"/>
    <w:rsid w:val="0056065D"/>
    <w:rsid w:val="0056087A"/>
    <w:rsid w:val="00561199"/>
    <w:rsid w:val="00561374"/>
    <w:rsid w:val="00561CD2"/>
    <w:rsid w:val="00561F13"/>
    <w:rsid w:val="00561FFE"/>
    <w:rsid w:val="005627A7"/>
    <w:rsid w:val="00562E93"/>
    <w:rsid w:val="0056318F"/>
    <w:rsid w:val="00563883"/>
    <w:rsid w:val="00563943"/>
    <w:rsid w:val="00563EAB"/>
    <w:rsid w:val="00564E80"/>
    <w:rsid w:val="005652F9"/>
    <w:rsid w:val="00565784"/>
    <w:rsid w:val="00565B56"/>
    <w:rsid w:val="0056610C"/>
    <w:rsid w:val="00566164"/>
    <w:rsid w:val="00566FD7"/>
    <w:rsid w:val="005676B7"/>
    <w:rsid w:val="00567887"/>
    <w:rsid w:val="00570006"/>
    <w:rsid w:val="005703A3"/>
    <w:rsid w:val="005711CD"/>
    <w:rsid w:val="00571296"/>
    <w:rsid w:val="0057131A"/>
    <w:rsid w:val="0057170F"/>
    <w:rsid w:val="00571EDB"/>
    <w:rsid w:val="00572090"/>
    <w:rsid w:val="00572D93"/>
    <w:rsid w:val="00573AB2"/>
    <w:rsid w:val="00573AE1"/>
    <w:rsid w:val="00573D20"/>
    <w:rsid w:val="005749DF"/>
    <w:rsid w:val="00574EAC"/>
    <w:rsid w:val="00574F47"/>
    <w:rsid w:val="005750A0"/>
    <w:rsid w:val="00575F39"/>
    <w:rsid w:val="005761B7"/>
    <w:rsid w:val="005769C7"/>
    <w:rsid w:val="00576C4B"/>
    <w:rsid w:val="0057737B"/>
    <w:rsid w:val="00577663"/>
    <w:rsid w:val="00577D87"/>
    <w:rsid w:val="00580022"/>
    <w:rsid w:val="00580CA3"/>
    <w:rsid w:val="005810B5"/>
    <w:rsid w:val="00581B96"/>
    <w:rsid w:val="00581EA5"/>
    <w:rsid w:val="00582B9C"/>
    <w:rsid w:val="00583049"/>
    <w:rsid w:val="005838A4"/>
    <w:rsid w:val="0058460F"/>
    <w:rsid w:val="00584B73"/>
    <w:rsid w:val="00585326"/>
    <w:rsid w:val="0058569D"/>
    <w:rsid w:val="00585E95"/>
    <w:rsid w:val="00587174"/>
    <w:rsid w:val="00587D4F"/>
    <w:rsid w:val="00587DE8"/>
    <w:rsid w:val="0059017E"/>
    <w:rsid w:val="0059036D"/>
    <w:rsid w:val="00590CAB"/>
    <w:rsid w:val="00590F82"/>
    <w:rsid w:val="005911A7"/>
    <w:rsid w:val="005919BA"/>
    <w:rsid w:val="00591FEF"/>
    <w:rsid w:val="005924B2"/>
    <w:rsid w:val="00592AC4"/>
    <w:rsid w:val="00592B16"/>
    <w:rsid w:val="005930CC"/>
    <w:rsid w:val="005935CD"/>
    <w:rsid w:val="00594030"/>
    <w:rsid w:val="00594A36"/>
    <w:rsid w:val="00594F09"/>
    <w:rsid w:val="005975D5"/>
    <w:rsid w:val="00597ABA"/>
    <w:rsid w:val="00597C06"/>
    <w:rsid w:val="005A0276"/>
    <w:rsid w:val="005A0580"/>
    <w:rsid w:val="005A0B9E"/>
    <w:rsid w:val="005A1161"/>
    <w:rsid w:val="005A15D2"/>
    <w:rsid w:val="005A15E7"/>
    <w:rsid w:val="005A1E0E"/>
    <w:rsid w:val="005A24FF"/>
    <w:rsid w:val="005A27E7"/>
    <w:rsid w:val="005A2BAD"/>
    <w:rsid w:val="005A3046"/>
    <w:rsid w:val="005A3DEF"/>
    <w:rsid w:val="005A47CF"/>
    <w:rsid w:val="005A4C44"/>
    <w:rsid w:val="005A5203"/>
    <w:rsid w:val="005A575B"/>
    <w:rsid w:val="005A6177"/>
    <w:rsid w:val="005A620E"/>
    <w:rsid w:val="005A6515"/>
    <w:rsid w:val="005A6691"/>
    <w:rsid w:val="005A6FA0"/>
    <w:rsid w:val="005A6FF5"/>
    <w:rsid w:val="005A79BB"/>
    <w:rsid w:val="005A7EDA"/>
    <w:rsid w:val="005B074C"/>
    <w:rsid w:val="005B0A98"/>
    <w:rsid w:val="005B27FC"/>
    <w:rsid w:val="005B2C85"/>
    <w:rsid w:val="005B2F39"/>
    <w:rsid w:val="005B30CB"/>
    <w:rsid w:val="005B36F3"/>
    <w:rsid w:val="005B3DAF"/>
    <w:rsid w:val="005B3F3F"/>
    <w:rsid w:val="005B3F83"/>
    <w:rsid w:val="005B4421"/>
    <w:rsid w:val="005B4787"/>
    <w:rsid w:val="005B4E07"/>
    <w:rsid w:val="005B5334"/>
    <w:rsid w:val="005B58EC"/>
    <w:rsid w:val="005B63CB"/>
    <w:rsid w:val="005B6BE3"/>
    <w:rsid w:val="005B6DF6"/>
    <w:rsid w:val="005B7355"/>
    <w:rsid w:val="005B76A9"/>
    <w:rsid w:val="005B7852"/>
    <w:rsid w:val="005B7AB0"/>
    <w:rsid w:val="005B7C6E"/>
    <w:rsid w:val="005B7CA4"/>
    <w:rsid w:val="005C0873"/>
    <w:rsid w:val="005C0B76"/>
    <w:rsid w:val="005C20B0"/>
    <w:rsid w:val="005C4048"/>
    <w:rsid w:val="005C4298"/>
    <w:rsid w:val="005C4611"/>
    <w:rsid w:val="005C47AE"/>
    <w:rsid w:val="005C510B"/>
    <w:rsid w:val="005C542E"/>
    <w:rsid w:val="005C54A3"/>
    <w:rsid w:val="005C5720"/>
    <w:rsid w:val="005C5D05"/>
    <w:rsid w:val="005C65EF"/>
    <w:rsid w:val="005C65F7"/>
    <w:rsid w:val="005C769B"/>
    <w:rsid w:val="005C7D0B"/>
    <w:rsid w:val="005D000B"/>
    <w:rsid w:val="005D0E4D"/>
    <w:rsid w:val="005D23ED"/>
    <w:rsid w:val="005D2C41"/>
    <w:rsid w:val="005D2C79"/>
    <w:rsid w:val="005D2EFC"/>
    <w:rsid w:val="005D3007"/>
    <w:rsid w:val="005D35A9"/>
    <w:rsid w:val="005D3801"/>
    <w:rsid w:val="005D4CC8"/>
    <w:rsid w:val="005D4DEE"/>
    <w:rsid w:val="005D4FDD"/>
    <w:rsid w:val="005D5861"/>
    <w:rsid w:val="005D5C71"/>
    <w:rsid w:val="005D5DAD"/>
    <w:rsid w:val="005D5E2D"/>
    <w:rsid w:val="005D64DD"/>
    <w:rsid w:val="005D6620"/>
    <w:rsid w:val="005D7462"/>
    <w:rsid w:val="005D7631"/>
    <w:rsid w:val="005D77DA"/>
    <w:rsid w:val="005D7928"/>
    <w:rsid w:val="005E00E3"/>
    <w:rsid w:val="005E08C8"/>
    <w:rsid w:val="005E0B2B"/>
    <w:rsid w:val="005E0FB2"/>
    <w:rsid w:val="005E1C79"/>
    <w:rsid w:val="005E2058"/>
    <w:rsid w:val="005E22C3"/>
    <w:rsid w:val="005E2E4A"/>
    <w:rsid w:val="005E3231"/>
    <w:rsid w:val="005E36E8"/>
    <w:rsid w:val="005E41D1"/>
    <w:rsid w:val="005E4BF7"/>
    <w:rsid w:val="005E5BFA"/>
    <w:rsid w:val="005E6246"/>
    <w:rsid w:val="005E67B9"/>
    <w:rsid w:val="005E706C"/>
    <w:rsid w:val="005E74B9"/>
    <w:rsid w:val="005E7C12"/>
    <w:rsid w:val="005F090A"/>
    <w:rsid w:val="005F0DF5"/>
    <w:rsid w:val="005F15CD"/>
    <w:rsid w:val="005F1C27"/>
    <w:rsid w:val="005F295B"/>
    <w:rsid w:val="005F370A"/>
    <w:rsid w:val="005F3870"/>
    <w:rsid w:val="005F487C"/>
    <w:rsid w:val="005F48CA"/>
    <w:rsid w:val="005F5753"/>
    <w:rsid w:val="005F59ED"/>
    <w:rsid w:val="005F5BD5"/>
    <w:rsid w:val="005F75A3"/>
    <w:rsid w:val="005F7C3D"/>
    <w:rsid w:val="005F7DF0"/>
    <w:rsid w:val="005F7F2C"/>
    <w:rsid w:val="00600380"/>
    <w:rsid w:val="00601B86"/>
    <w:rsid w:val="00601B89"/>
    <w:rsid w:val="00601F5E"/>
    <w:rsid w:val="006021D5"/>
    <w:rsid w:val="00602372"/>
    <w:rsid w:val="006025F6"/>
    <w:rsid w:val="00602FF0"/>
    <w:rsid w:val="006037F5"/>
    <w:rsid w:val="006039ED"/>
    <w:rsid w:val="00603E55"/>
    <w:rsid w:val="00603E5E"/>
    <w:rsid w:val="00603F7D"/>
    <w:rsid w:val="0060437A"/>
    <w:rsid w:val="00604D55"/>
    <w:rsid w:val="00605463"/>
    <w:rsid w:val="0060581C"/>
    <w:rsid w:val="00606701"/>
    <w:rsid w:val="00606765"/>
    <w:rsid w:val="00606B21"/>
    <w:rsid w:val="00607478"/>
    <w:rsid w:val="00607945"/>
    <w:rsid w:val="006100E4"/>
    <w:rsid w:val="00610CE9"/>
    <w:rsid w:val="00611425"/>
    <w:rsid w:val="006115DD"/>
    <w:rsid w:val="006116E4"/>
    <w:rsid w:val="00611BFA"/>
    <w:rsid w:val="00612071"/>
    <w:rsid w:val="006123CE"/>
    <w:rsid w:val="006135CA"/>
    <w:rsid w:val="00613B95"/>
    <w:rsid w:val="00614166"/>
    <w:rsid w:val="00614643"/>
    <w:rsid w:val="006146AE"/>
    <w:rsid w:val="0061472F"/>
    <w:rsid w:val="00614777"/>
    <w:rsid w:val="00614886"/>
    <w:rsid w:val="00614997"/>
    <w:rsid w:val="006154BE"/>
    <w:rsid w:val="006201AD"/>
    <w:rsid w:val="00620CC1"/>
    <w:rsid w:val="00620D8D"/>
    <w:rsid w:val="00620E2A"/>
    <w:rsid w:val="00620E9D"/>
    <w:rsid w:val="00620EF3"/>
    <w:rsid w:val="00621A84"/>
    <w:rsid w:val="00621BE9"/>
    <w:rsid w:val="00621BFE"/>
    <w:rsid w:val="0062205B"/>
    <w:rsid w:val="0062252A"/>
    <w:rsid w:val="0062256D"/>
    <w:rsid w:val="006236A7"/>
    <w:rsid w:val="00623B4D"/>
    <w:rsid w:val="0062590A"/>
    <w:rsid w:val="00626DA1"/>
    <w:rsid w:val="00627393"/>
    <w:rsid w:val="00627939"/>
    <w:rsid w:val="006279C3"/>
    <w:rsid w:val="00627E7A"/>
    <w:rsid w:val="0063020D"/>
    <w:rsid w:val="00630B27"/>
    <w:rsid w:val="006313FB"/>
    <w:rsid w:val="006315E9"/>
    <w:rsid w:val="00631BEB"/>
    <w:rsid w:val="006323CC"/>
    <w:rsid w:val="00632C2E"/>
    <w:rsid w:val="00632DF0"/>
    <w:rsid w:val="006338B5"/>
    <w:rsid w:val="006341DB"/>
    <w:rsid w:val="00634B5B"/>
    <w:rsid w:val="00634ED0"/>
    <w:rsid w:val="006354AD"/>
    <w:rsid w:val="006357FC"/>
    <w:rsid w:val="00635A77"/>
    <w:rsid w:val="00635A9E"/>
    <w:rsid w:val="006361AC"/>
    <w:rsid w:val="006361F7"/>
    <w:rsid w:val="0063629A"/>
    <w:rsid w:val="00636A71"/>
    <w:rsid w:val="00636F1D"/>
    <w:rsid w:val="00637287"/>
    <w:rsid w:val="00637490"/>
    <w:rsid w:val="0063755B"/>
    <w:rsid w:val="00637D2B"/>
    <w:rsid w:val="00637F17"/>
    <w:rsid w:val="0064171B"/>
    <w:rsid w:val="00641C59"/>
    <w:rsid w:val="00642F22"/>
    <w:rsid w:val="006438CD"/>
    <w:rsid w:val="00643C58"/>
    <w:rsid w:val="00644CD1"/>
    <w:rsid w:val="00644FB1"/>
    <w:rsid w:val="00645031"/>
    <w:rsid w:val="0064550E"/>
    <w:rsid w:val="00645D64"/>
    <w:rsid w:val="00645DBC"/>
    <w:rsid w:val="006462CB"/>
    <w:rsid w:val="0064672D"/>
    <w:rsid w:val="00647ADA"/>
    <w:rsid w:val="00650057"/>
    <w:rsid w:val="00650186"/>
    <w:rsid w:val="00650E99"/>
    <w:rsid w:val="00651907"/>
    <w:rsid w:val="0065199B"/>
    <w:rsid w:val="00651C63"/>
    <w:rsid w:val="00651D09"/>
    <w:rsid w:val="00652680"/>
    <w:rsid w:val="00652F4A"/>
    <w:rsid w:val="00652F55"/>
    <w:rsid w:val="0065353E"/>
    <w:rsid w:val="006539F0"/>
    <w:rsid w:val="00653C1E"/>
    <w:rsid w:val="0065405D"/>
    <w:rsid w:val="00654890"/>
    <w:rsid w:val="0065526E"/>
    <w:rsid w:val="0065547B"/>
    <w:rsid w:val="006556BA"/>
    <w:rsid w:val="0065587C"/>
    <w:rsid w:val="00655EC3"/>
    <w:rsid w:val="00656035"/>
    <w:rsid w:val="00656DC1"/>
    <w:rsid w:val="00656F73"/>
    <w:rsid w:val="0065702D"/>
    <w:rsid w:val="00660059"/>
    <w:rsid w:val="00660591"/>
    <w:rsid w:val="00661601"/>
    <w:rsid w:val="00661772"/>
    <w:rsid w:val="00661992"/>
    <w:rsid w:val="0066266D"/>
    <w:rsid w:val="006626D7"/>
    <w:rsid w:val="00662B95"/>
    <w:rsid w:val="0066301F"/>
    <w:rsid w:val="006630F9"/>
    <w:rsid w:val="006631FD"/>
    <w:rsid w:val="006632B4"/>
    <w:rsid w:val="006654C7"/>
    <w:rsid w:val="0066554A"/>
    <w:rsid w:val="00665C11"/>
    <w:rsid w:val="00666083"/>
    <w:rsid w:val="00666111"/>
    <w:rsid w:val="0066716F"/>
    <w:rsid w:val="00667FDB"/>
    <w:rsid w:val="0067005D"/>
    <w:rsid w:val="00670076"/>
    <w:rsid w:val="00670451"/>
    <w:rsid w:val="00670940"/>
    <w:rsid w:val="00670BFB"/>
    <w:rsid w:val="00670DB4"/>
    <w:rsid w:val="00672198"/>
    <w:rsid w:val="0067239A"/>
    <w:rsid w:val="00672508"/>
    <w:rsid w:val="0067255F"/>
    <w:rsid w:val="00673166"/>
    <w:rsid w:val="0067382D"/>
    <w:rsid w:val="006742D7"/>
    <w:rsid w:val="00674717"/>
    <w:rsid w:val="00674905"/>
    <w:rsid w:val="00674F68"/>
    <w:rsid w:val="00675141"/>
    <w:rsid w:val="006755F7"/>
    <w:rsid w:val="006757E2"/>
    <w:rsid w:val="00675815"/>
    <w:rsid w:val="00676CE8"/>
    <w:rsid w:val="00676EE9"/>
    <w:rsid w:val="00676F8E"/>
    <w:rsid w:val="00676FD9"/>
    <w:rsid w:val="006772D7"/>
    <w:rsid w:val="00677BA2"/>
    <w:rsid w:val="00677BCE"/>
    <w:rsid w:val="00677E0D"/>
    <w:rsid w:val="0068013F"/>
    <w:rsid w:val="006803DC"/>
    <w:rsid w:val="00681A34"/>
    <w:rsid w:val="00682669"/>
    <w:rsid w:val="00682BB6"/>
    <w:rsid w:val="00683ED5"/>
    <w:rsid w:val="0068537A"/>
    <w:rsid w:val="00686974"/>
    <w:rsid w:val="006869C5"/>
    <w:rsid w:val="00687175"/>
    <w:rsid w:val="00687302"/>
    <w:rsid w:val="006875F6"/>
    <w:rsid w:val="00690E29"/>
    <w:rsid w:val="00691002"/>
    <w:rsid w:val="00691928"/>
    <w:rsid w:val="00691D80"/>
    <w:rsid w:val="00691DB4"/>
    <w:rsid w:val="00691FC0"/>
    <w:rsid w:val="00692444"/>
    <w:rsid w:val="006929E0"/>
    <w:rsid w:val="00692CF2"/>
    <w:rsid w:val="00692D4E"/>
    <w:rsid w:val="00692EAA"/>
    <w:rsid w:val="00693064"/>
    <w:rsid w:val="0069309B"/>
    <w:rsid w:val="006930DD"/>
    <w:rsid w:val="00693DCD"/>
    <w:rsid w:val="0069425A"/>
    <w:rsid w:val="00694992"/>
    <w:rsid w:val="006955FA"/>
    <w:rsid w:val="006956EC"/>
    <w:rsid w:val="006960D3"/>
    <w:rsid w:val="00696C7A"/>
    <w:rsid w:val="00696ED9"/>
    <w:rsid w:val="00697C6D"/>
    <w:rsid w:val="00697F88"/>
    <w:rsid w:val="006A0250"/>
    <w:rsid w:val="006A09F0"/>
    <w:rsid w:val="006A0D35"/>
    <w:rsid w:val="006A10FB"/>
    <w:rsid w:val="006A158C"/>
    <w:rsid w:val="006A243A"/>
    <w:rsid w:val="006A25CD"/>
    <w:rsid w:val="006A2EA7"/>
    <w:rsid w:val="006A3C2F"/>
    <w:rsid w:val="006A3D1D"/>
    <w:rsid w:val="006A3EDE"/>
    <w:rsid w:val="006A438E"/>
    <w:rsid w:val="006A5866"/>
    <w:rsid w:val="006A6949"/>
    <w:rsid w:val="006A6F6B"/>
    <w:rsid w:val="006A7AEF"/>
    <w:rsid w:val="006A7F4A"/>
    <w:rsid w:val="006B07B0"/>
    <w:rsid w:val="006B0C88"/>
    <w:rsid w:val="006B12BA"/>
    <w:rsid w:val="006B1CDD"/>
    <w:rsid w:val="006B37EC"/>
    <w:rsid w:val="006B4AF7"/>
    <w:rsid w:val="006B4CE9"/>
    <w:rsid w:val="006B4E82"/>
    <w:rsid w:val="006C0CE0"/>
    <w:rsid w:val="006C12CA"/>
    <w:rsid w:val="006C24A7"/>
    <w:rsid w:val="006C2604"/>
    <w:rsid w:val="006C27FC"/>
    <w:rsid w:val="006C29CD"/>
    <w:rsid w:val="006C388D"/>
    <w:rsid w:val="006C399A"/>
    <w:rsid w:val="006C446B"/>
    <w:rsid w:val="006C4484"/>
    <w:rsid w:val="006C515E"/>
    <w:rsid w:val="006C51B9"/>
    <w:rsid w:val="006C547F"/>
    <w:rsid w:val="006C55DA"/>
    <w:rsid w:val="006C57F6"/>
    <w:rsid w:val="006C64CE"/>
    <w:rsid w:val="006C7144"/>
    <w:rsid w:val="006C7CE8"/>
    <w:rsid w:val="006D0428"/>
    <w:rsid w:val="006D0773"/>
    <w:rsid w:val="006D0EE1"/>
    <w:rsid w:val="006D12AC"/>
    <w:rsid w:val="006D1A00"/>
    <w:rsid w:val="006D333A"/>
    <w:rsid w:val="006D405D"/>
    <w:rsid w:val="006D4510"/>
    <w:rsid w:val="006D5226"/>
    <w:rsid w:val="006D5F29"/>
    <w:rsid w:val="006D601D"/>
    <w:rsid w:val="006D6572"/>
    <w:rsid w:val="006D6832"/>
    <w:rsid w:val="006D7160"/>
    <w:rsid w:val="006D72B6"/>
    <w:rsid w:val="006D7894"/>
    <w:rsid w:val="006D79DE"/>
    <w:rsid w:val="006E0B10"/>
    <w:rsid w:val="006E0C85"/>
    <w:rsid w:val="006E2072"/>
    <w:rsid w:val="006E23D1"/>
    <w:rsid w:val="006E26D3"/>
    <w:rsid w:val="006E2978"/>
    <w:rsid w:val="006E2CC4"/>
    <w:rsid w:val="006E2CF6"/>
    <w:rsid w:val="006E3C9C"/>
    <w:rsid w:val="006E3CE5"/>
    <w:rsid w:val="006E469D"/>
    <w:rsid w:val="006E48C8"/>
    <w:rsid w:val="006E4B3E"/>
    <w:rsid w:val="006E4D2E"/>
    <w:rsid w:val="006E4F3C"/>
    <w:rsid w:val="006E52D1"/>
    <w:rsid w:val="006E614C"/>
    <w:rsid w:val="006E645A"/>
    <w:rsid w:val="006E6905"/>
    <w:rsid w:val="006E6A18"/>
    <w:rsid w:val="006E6E2F"/>
    <w:rsid w:val="006E7723"/>
    <w:rsid w:val="006E7853"/>
    <w:rsid w:val="006E7A7A"/>
    <w:rsid w:val="006F159D"/>
    <w:rsid w:val="006F1962"/>
    <w:rsid w:val="006F23A2"/>
    <w:rsid w:val="006F29B0"/>
    <w:rsid w:val="006F35C6"/>
    <w:rsid w:val="006F3EF1"/>
    <w:rsid w:val="006F3FAB"/>
    <w:rsid w:val="006F4C05"/>
    <w:rsid w:val="006F4E87"/>
    <w:rsid w:val="006F52BA"/>
    <w:rsid w:val="006F5CEA"/>
    <w:rsid w:val="006F5D06"/>
    <w:rsid w:val="006F5E19"/>
    <w:rsid w:val="006F5EAE"/>
    <w:rsid w:val="006F6764"/>
    <w:rsid w:val="006F6C24"/>
    <w:rsid w:val="006F72F3"/>
    <w:rsid w:val="006F7481"/>
    <w:rsid w:val="006F75A1"/>
    <w:rsid w:val="006F75C0"/>
    <w:rsid w:val="006F7B5A"/>
    <w:rsid w:val="006F7C5C"/>
    <w:rsid w:val="006F7D2F"/>
    <w:rsid w:val="007008DF"/>
    <w:rsid w:val="0070186B"/>
    <w:rsid w:val="00701C56"/>
    <w:rsid w:val="007024A2"/>
    <w:rsid w:val="00702963"/>
    <w:rsid w:val="00702E0F"/>
    <w:rsid w:val="00703192"/>
    <w:rsid w:val="00703B63"/>
    <w:rsid w:val="007043AF"/>
    <w:rsid w:val="00704C45"/>
    <w:rsid w:val="00704D2A"/>
    <w:rsid w:val="00704FBA"/>
    <w:rsid w:val="0070542B"/>
    <w:rsid w:val="00705611"/>
    <w:rsid w:val="00705A3D"/>
    <w:rsid w:val="007063B8"/>
    <w:rsid w:val="00706CFE"/>
    <w:rsid w:val="00706F15"/>
    <w:rsid w:val="007072A8"/>
    <w:rsid w:val="00707DAE"/>
    <w:rsid w:val="00710208"/>
    <w:rsid w:val="00711110"/>
    <w:rsid w:val="00711BF0"/>
    <w:rsid w:val="007120B1"/>
    <w:rsid w:val="007125C6"/>
    <w:rsid w:val="00712C28"/>
    <w:rsid w:val="00713605"/>
    <w:rsid w:val="00713C52"/>
    <w:rsid w:val="00713D3C"/>
    <w:rsid w:val="00714815"/>
    <w:rsid w:val="00714CF3"/>
    <w:rsid w:val="00715958"/>
    <w:rsid w:val="00715C06"/>
    <w:rsid w:val="00715DBB"/>
    <w:rsid w:val="00716024"/>
    <w:rsid w:val="00716191"/>
    <w:rsid w:val="00716195"/>
    <w:rsid w:val="00716A9F"/>
    <w:rsid w:val="00716F54"/>
    <w:rsid w:val="00717D52"/>
    <w:rsid w:val="00720A18"/>
    <w:rsid w:val="00720D91"/>
    <w:rsid w:val="00721349"/>
    <w:rsid w:val="00721772"/>
    <w:rsid w:val="00721E70"/>
    <w:rsid w:val="00722139"/>
    <w:rsid w:val="00723305"/>
    <w:rsid w:val="00724315"/>
    <w:rsid w:val="00724D74"/>
    <w:rsid w:val="00724DE4"/>
    <w:rsid w:val="00725969"/>
    <w:rsid w:val="0072666C"/>
    <w:rsid w:val="007266CF"/>
    <w:rsid w:val="00726745"/>
    <w:rsid w:val="007275CE"/>
    <w:rsid w:val="00727884"/>
    <w:rsid w:val="00727DD0"/>
    <w:rsid w:val="007301E9"/>
    <w:rsid w:val="00730458"/>
    <w:rsid w:val="00730600"/>
    <w:rsid w:val="0073073B"/>
    <w:rsid w:val="007308DA"/>
    <w:rsid w:val="00731288"/>
    <w:rsid w:val="0073179C"/>
    <w:rsid w:val="00731BC2"/>
    <w:rsid w:val="00731F40"/>
    <w:rsid w:val="00732B8E"/>
    <w:rsid w:val="0073467F"/>
    <w:rsid w:val="00734829"/>
    <w:rsid w:val="007360BD"/>
    <w:rsid w:val="00736F20"/>
    <w:rsid w:val="00740298"/>
    <w:rsid w:val="00740D76"/>
    <w:rsid w:val="00740FE0"/>
    <w:rsid w:val="00741108"/>
    <w:rsid w:val="00741162"/>
    <w:rsid w:val="007413A8"/>
    <w:rsid w:val="007422A0"/>
    <w:rsid w:val="007424AC"/>
    <w:rsid w:val="007428C2"/>
    <w:rsid w:val="00742D96"/>
    <w:rsid w:val="00742F47"/>
    <w:rsid w:val="00742FD7"/>
    <w:rsid w:val="007432BE"/>
    <w:rsid w:val="00744531"/>
    <w:rsid w:val="00745115"/>
    <w:rsid w:val="00745F44"/>
    <w:rsid w:val="00747251"/>
    <w:rsid w:val="00747847"/>
    <w:rsid w:val="00750047"/>
    <w:rsid w:val="007524E2"/>
    <w:rsid w:val="007524F8"/>
    <w:rsid w:val="007526B8"/>
    <w:rsid w:val="00752977"/>
    <w:rsid w:val="00752E61"/>
    <w:rsid w:val="007533C6"/>
    <w:rsid w:val="00753FD0"/>
    <w:rsid w:val="00754693"/>
    <w:rsid w:val="00755655"/>
    <w:rsid w:val="007557A0"/>
    <w:rsid w:val="00755B43"/>
    <w:rsid w:val="00755C99"/>
    <w:rsid w:val="00755F2A"/>
    <w:rsid w:val="00756C0C"/>
    <w:rsid w:val="00757874"/>
    <w:rsid w:val="00757B35"/>
    <w:rsid w:val="00760986"/>
    <w:rsid w:val="0076169A"/>
    <w:rsid w:val="0076394B"/>
    <w:rsid w:val="00764D57"/>
    <w:rsid w:val="007656EE"/>
    <w:rsid w:val="007668ED"/>
    <w:rsid w:val="00766BA4"/>
    <w:rsid w:val="00766F7D"/>
    <w:rsid w:val="00767919"/>
    <w:rsid w:val="007703FB"/>
    <w:rsid w:val="0077093E"/>
    <w:rsid w:val="00770BB4"/>
    <w:rsid w:val="00770F7E"/>
    <w:rsid w:val="00771097"/>
    <w:rsid w:val="00771276"/>
    <w:rsid w:val="007712AB"/>
    <w:rsid w:val="00771D3C"/>
    <w:rsid w:val="00772041"/>
    <w:rsid w:val="007725FA"/>
    <w:rsid w:val="00772D22"/>
    <w:rsid w:val="00772DA2"/>
    <w:rsid w:val="00773765"/>
    <w:rsid w:val="00773CB0"/>
    <w:rsid w:val="00774B6E"/>
    <w:rsid w:val="00774D2A"/>
    <w:rsid w:val="007750CB"/>
    <w:rsid w:val="00775853"/>
    <w:rsid w:val="00775B61"/>
    <w:rsid w:val="0077659E"/>
    <w:rsid w:val="00776F65"/>
    <w:rsid w:val="00777173"/>
    <w:rsid w:val="00777311"/>
    <w:rsid w:val="00777EAC"/>
    <w:rsid w:val="00780D86"/>
    <w:rsid w:val="00780E35"/>
    <w:rsid w:val="00781477"/>
    <w:rsid w:val="007815D8"/>
    <w:rsid w:val="007825E5"/>
    <w:rsid w:val="00782C77"/>
    <w:rsid w:val="00782D24"/>
    <w:rsid w:val="00782F12"/>
    <w:rsid w:val="00783499"/>
    <w:rsid w:val="00783A74"/>
    <w:rsid w:val="00785403"/>
    <w:rsid w:val="00785B34"/>
    <w:rsid w:val="00785CAF"/>
    <w:rsid w:val="007865E8"/>
    <w:rsid w:val="00786915"/>
    <w:rsid w:val="00787670"/>
    <w:rsid w:val="00787D00"/>
    <w:rsid w:val="00790AFB"/>
    <w:rsid w:val="00790F05"/>
    <w:rsid w:val="0079148D"/>
    <w:rsid w:val="00791837"/>
    <w:rsid w:val="00791FD7"/>
    <w:rsid w:val="007920A4"/>
    <w:rsid w:val="00792262"/>
    <w:rsid w:val="0079246D"/>
    <w:rsid w:val="00792FE0"/>
    <w:rsid w:val="00793270"/>
    <w:rsid w:val="007933EE"/>
    <w:rsid w:val="00793815"/>
    <w:rsid w:val="007939E6"/>
    <w:rsid w:val="00793A82"/>
    <w:rsid w:val="00794486"/>
    <w:rsid w:val="0079460C"/>
    <w:rsid w:val="00795409"/>
    <w:rsid w:val="00795BC2"/>
    <w:rsid w:val="00796325"/>
    <w:rsid w:val="00796BE6"/>
    <w:rsid w:val="00796C4E"/>
    <w:rsid w:val="00797169"/>
    <w:rsid w:val="00797200"/>
    <w:rsid w:val="007975F9"/>
    <w:rsid w:val="0079761F"/>
    <w:rsid w:val="007A0462"/>
    <w:rsid w:val="007A0EC2"/>
    <w:rsid w:val="007A11D6"/>
    <w:rsid w:val="007A1240"/>
    <w:rsid w:val="007A133F"/>
    <w:rsid w:val="007A2059"/>
    <w:rsid w:val="007A2176"/>
    <w:rsid w:val="007A222B"/>
    <w:rsid w:val="007A2859"/>
    <w:rsid w:val="007A2D67"/>
    <w:rsid w:val="007A2DAC"/>
    <w:rsid w:val="007A2DEF"/>
    <w:rsid w:val="007A2E7B"/>
    <w:rsid w:val="007A3007"/>
    <w:rsid w:val="007A346F"/>
    <w:rsid w:val="007A34A6"/>
    <w:rsid w:val="007A3511"/>
    <w:rsid w:val="007A3D97"/>
    <w:rsid w:val="007A3FA0"/>
    <w:rsid w:val="007A50A8"/>
    <w:rsid w:val="007A5102"/>
    <w:rsid w:val="007A5AFA"/>
    <w:rsid w:val="007A5FDC"/>
    <w:rsid w:val="007A637A"/>
    <w:rsid w:val="007A698E"/>
    <w:rsid w:val="007A6C84"/>
    <w:rsid w:val="007A7207"/>
    <w:rsid w:val="007A7842"/>
    <w:rsid w:val="007A7AB0"/>
    <w:rsid w:val="007B0225"/>
    <w:rsid w:val="007B02D2"/>
    <w:rsid w:val="007B0DC4"/>
    <w:rsid w:val="007B1D39"/>
    <w:rsid w:val="007B227B"/>
    <w:rsid w:val="007B3440"/>
    <w:rsid w:val="007B4D39"/>
    <w:rsid w:val="007B4E6C"/>
    <w:rsid w:val="007B553E"/>
    <w:rsid w:val="007B5B58"/>
    <w:rsid w:val="007B5C46"/>
    <w:rsid w:val="007B5F92"/>
    <w:rsid w:val="007B764E"/>
    <w:rsid w:val="007B7B98"/>
    <w:rsid w:val="007C0163"/>
    <w:rsid w:val="007C041F"/>
    <w:rsid w:val="007C0EE6"/>
    <w:rsid w:val="007C1333"/>
    <w:rsid w:val="007C23BA"/>
    <w:rsid w:val="007C2A22"/>
    <w:rsid w:val="007C3179"/>
    <w:rsid w:val="007C3545"/>
    <w:rsid w:val="007C36CA"/>
    <w:rsid w:val="007C4B00"/>
    <w:rsid w:val="007C4C89"/>
    <w:rsid w:val="007C5487"/>
    <w:rsid w:val="007C5702"/>
    <w:rsid w:val="007C5757"/>
    <w:rsid w:val="007C5AB5"/>
    <w:rsid w:val="007C5B89"/>
    <w:rsid w:val="007C5CA3"/>
    <w:rsid w:val="007C5F57"/>
    <w:rsid w:val="007C6141"/>
    <w:rsid w:val="007C6A0D"/>
    <w:rsid w:val="007C6F89"/>
    <w:rsid w:val="007C720F"/>
    <w:rsid w:val="007C761C"/>
    <w:rsid w:val="007C7678"/>
    <w:rsid w:val="007C7B27"/>
    <w:rsid w:val="007C7FAB"/>
    <w:rsid w:val="007D02F8"/>
    <w:rsid w:val="007D0461"/>
    <w:rsid w:val="007D077D"/>
    <w:rsid w:val="007D1C7D"/>
    <w:rsid w:val="007D2B3D"/>
    <w:rsid w:val="007D2C32"/>
    <w:rsid w:val="007D317D"/>
    <w:rsid w:val="007D4605"/>
    <w:rsid w:val="007D496D"/>
    <w:rsid w:val="007D4DED"/>
    <w:rsid w:val="007D4E17"/>
    <w:rsid w:val="007D507D"/>
    <w:rsid w:val="007D5BE5"/>
    <w:rsid w:val="007D605E"/>
    <w:rsid w:val="007D60C9"/>
    <w:rsid w:val="007D6C76"/>
    <w:rsid w:val="007D6DCC"/>
    <w:rsid w:val="007D6E15"/>
    <w:rsid w:val="007D76AA"/>
    <w:rsid w:val="007D79D2"/>
    <w:rsid w:val="007E0125"/>
    <w:rsid w:val="007E0656"/>
    <w:rsid w:val="007E127F"/>
    <w:rsid w:val="007E18CC"/>
    <w:rsid w:val="007E194C"/>
    <w:rsid w:val="007E30BD"/>
    <w:rsid w:val="007E41E9"/>
    <w:rsid w:val="007E4431"/>
    <w:rsid w:val="007E4510"/>
    <w:rsid w:val="007E4E39"/>
    <w:rsid w:val="007E507F"/>
    <w:rsid w:val="007E531B"/>
    <w:rsid w:val="007E53EC"/>
    <w:rsid w:val="007E56C2"/>
    <w:rsid w:val="007E5A81"/>
    <w:rsid w:val="007E6202"/>
    <w:rsid w:val="007E6258"/>
    <w:rsid w:val="007E66D2"/>
    <w:rsid w:val="007E6A2A"/>
    <w:rsid w:val="007E6E6D"/>
    <w:rsid w:val="007E7ACE"/>
    <w:rsid w:val="007E7DA5"/>
    <w:rsid w:val="007F02B4"/>
    <w:rsid w:val="007F046C"/>
    <w:rsid w:val="007F0B1D"/>
    <w:rsid w:val="007F0D9D"/>
    <w:rsid w:val="007F1048"/>
    <w:rsid w:val="007F147C"/>
    <w:rsid w:val="007F1618"/>
    <w:rsid w:val="007F1A55"/>
    <w:rsid w:val="007F231D"/>
    <w:rsid w:val="007F3380"/>
    <w:rsid w:val="007F34AF"/>
    <w:rsid w:val="007F3D95"/>
    <w:rsid w:val="007F46B1"/>
    <w:rsid w:val="007F46B9"/>
    <w:rsid w:val="007F4BDD"/>
    <w:rsid w:val="007F5244"/>
    <w:rsid w:val="007F5316"/>
    <w:rsid w:val="007F5EAA"/>
    <w:rsid w:val="007F6A5F"/>
    <w:rsid w:val="007F6A61"/>
    <w:rsid w:val="007F6D9F"/>
    <w:rsid w:val="007F788B"/>
    <w:rsid w:val="007F79F7"/>
    <w:rsid w:val="007F7F7A"/>
    <w:rsid w:val="00800242"/>
    <w:rsid w:val="0080069B"/>
    <w:rsid w:val="0080078E"/>
    <w:rsid w:val="00800B99"/>
    <w:rsid w:val="00801567"/>
    <w:rsid w:val="00801757"/>
    <w:rsid w:val="008018EE"/>
    <w:rsid w:val="00801B29"/>
    <w:rsid w:val="00801CC6"/>
    <w:rsid w:val="0080260E"/>
    <w:rsid w:val="008033FE"/>
    <w:rsid w:val="00803D4A"/>
    <w:rsid w:val="00803E6F"/>
    <w:rsid w:val="0080466A"/>
    <w:rsid w:val="00804B33"/>
    <w:rsid w:val="0080512E"/>
    <w:rsid w:val="0080525D"/>
    <w:rsid w:val="00805416"/>
    <w:rsid w:val="008058D0"/>
    <w:rsid w:val="00805936"/>
    <w:rsid w:val="00805D03"/>
    <w:rsid w:val="00805FDD"/>
    <w:rsid w:val="00807043"/>
    <w:rsid w:val="00807091"/>
    <w:rsid w:val="008076AE"/>
    <w:rsid w:val="008077FE"/>
    <w:rsid w:val="008109F1"/>
    <w:rsid w:val="0081107C"/>
    <w:rsid w:val="00811730"/>
    <w:rsid w:val="008117D2"/>
    <w:rsid w:val="00811CE1"/>
    <w:rsid w:val="00812B3B"/>
    <w:rsid w:val="0081313A"/>
    <w:rsid w:val="00813658"/>
    <w:rsid w:val="0081408F"/>
    <w:rsid w:val="00815077"/>
    <w:rsid w:val="00815330"/>
    <w:rsid w:val="008159A4"/>
    <w:rsid w:val="00815BBB"/>
    <w:rsid w:val="00816057"/>
    <w:rsid w:val="00816110"/>
    <w:rsid w:val="00816D3E"/>
    <w:rsid w:val="00817208"/>
    <w:rsid w:val="008202D4"/>
    <w:rsid w:val="008204EF"/>
    <w:rsid w:val="0082093A"/>
    <w:rsid w:val="00820E4D"/>
    <w:rsid w:val="00821F82"/>
    <w:rsid w:val="00822A68"/>
    <w:rsid w:val="00823C83"/>
    <w:rsid w:val="00823FBC"/>
    <w:rsid w:val="008244A2"/>
    <w:rsid w:val="00826000"/>
    <w:rsid w:val="00826E19"/>
    <w:rsid w:val="008272E4"/>
    <w:rsid w:val="00827733"/>
    <w:rsid w:val="008304EC"/>
    <w:rsid w:val="0083144D"/>
    <w:rsid w:val="008315E5"/>
    <w:rsid w:val="008316D5"/>
    <w:rsid w:val="00831CD5"/>
    <w:rsid w:val="008324E3"/>
    <w:rsid w:val="0083257C"/>
    <w:rsid w:val="0083296C"/>
    <w:rsid w:val="00832A95"/>
    <w:rsid w:val="00832FCB"/>
    <w:rsid w:val="00833145"/>
    <w:rsid w:val="00833A86"/>
    <w:rsid w:val="008342E2"/>
    <w:rsid w:val="00834931"/>
    <w:rsid w:val="00834A3B"/>
    <w:rsid w:val="00834E99"/>
    <w:rsid w:val="008352FC"/>
    <w:rsid w:val="00835D36"/>
    <w:rsid w:val="0083706D"/>
    <w:rsid w:val="0083724B"/>
    <w:rsid w:val="008375A6"/>
    <w:rsid w:val="00837B8D"/>
    <w:rsid w:val="00840515"/>
    <w:rsid w:val="0084090D"/>
    <w:rsid w:val="00841200"/>
    <w:rsid w:val="008419BE"/>
    <w:rsid w:val="008425EC"/>
    <w:rsid w:val="0084318E"/>
    <w:rsid w:val="008437DF"/>
    <w:rsid w:val="008441C4"/>
    <w:rsid w:val="0084481B"/>
    <w:rsid w:val="0084509C"/>
    <w:rsid w:val="00845342"/>
    <w:rsid w:val="00845387"/>
    <w:rsid w:val="0084618E"/>
    <w:rsid w:val="008465EE"/>
    <w:rsid w:val="00846D28"/>
    <w:rsid w:val="0084704C"/>
    <w:rsid w:val="00847FF6"/>
    <w:rsid w:val="008503A3"/>
    <w:rsid w:val="00851DD4"/>
    <w:rsid w:val="00851E51"/>
    <w:rsid w:val="0085224A"/>
    <w:rsid w:val="0085227E"/>
    <w:rsid w:val="00852389"/>
    <w:rsid w:val="00852C26"/>
    <w:rsid w:val="00852DB3"/>
    <w:rsid w:val="0085311A"/>
    <w:rsid w:val="00853198"/>
    <w:rsid w:val="00853A6E"/>
    <w:rsid w:val="00855019"/>
    <w:rsid w:val="00855C7F"/>
    <w:rsid w:val="00856430"/>
    <w:rsid w:val="00856BA6"/>
    <w:rsid w:val="008578E6"/>
    <w:rsid w:val="00860B47"/>
    <w:rsid w:val="008612A0"/>
    <w:rsid w:val="008621EE"/>
    <w:rsid w:val="008623F3"/>
    <w:rsid w:val="00862437"/>
    <w:rsid w:val="008629D9"/>
    <w:rsid w:val="00862DA8"/>
    <w:rsid w:val="00862EE3"/>
    <w:rsid w:val="00864F62"/>
    <w:rsid w:val="00864FF1"/>
    <w:rsid w:val="00865CFD"/>
    <w:rsid w:val="008667F7"/>
    <w:rsid w:val="008670B2"/>
    <w:rsid w:val="008674D9"/>
    <w:rsid w:val="00867665"/>
    <w:rsid w:val="0086772E"/>
    <w:rsid w:val="008677E1"/>
    <w:rsid w:val="00867FA5"/>
    <w:rsid w:val="00867FEA"/>
    <w:rsid w:val="00870047"/>
    <w:rsid w:val="00870265"/>
    <w:rsid w:val="008711A3"/>
    <w:rsid w:val="00871C8E"/>
    <w:rsid w:val="00871D62"/>
    <w:rsid w:val="008721F0"/>
    <w:rsid w:val="00872ADF"/>
    <w:rsid w:val="00872FE5"/>
    <w:rsid w:val="00873136"/>
    <w:rsid w:val="00873285"/>
    <w:rsid w:val="00874C4D"/>
    <w:rsid w:val="00875E0C"/>
    <w:rsid w:val="00876090"/>
    <w:rsid w:val="008765C8"/>
    <w:rsid w:val="00880AE5"/>
    <w:rsid w:val="00880EAC"/>
    <w:rsid w:val="00880F7D"/>
    <w:rsid w:val="00881081"/>
    <w:rsid w:val="00881530"/>
    <w:rsid w:val="00882183"/>
    <w:rsid w:val="00882479"/>
    <w:rsid w:val="0088268C"/>
    <w:rsid w:val="0088283B"/>
    <w:rsid w:val="00882C53"/>
    <w:rsid w:val="00882E4A"/>
    <w:rsid w:val="00882FC1"/>
    <w:rsid w:val="00883110"/>
    <w:rsid w:val="00884146"/>
    <w:rsid w:val="00884266"/>
    <w:rsid w:val="0088559C"/>
    <w:rsid w:val="00885A0B"/>
    <w:rsid w:val="00885AE4"/>
    <w:rsid w:val="00885C19"/>
    <w:rsid w:val="00886406"/>
    <w:rsid w:val="008875E8"/>
    <w:rsid w:val="008876F7"/>
    <w:rsid w:val="00890862"/>
    <w:rsid w:val="00891234"/>
    <w:rsid w:val="00891266"/>
    <w:rsid w:val="0089171B"/>
    <w:rsid w:val="00891B38"/>
    <w:rsid w:val="00891E61"/>
    <w:rsid w:val="008927B2"/>
    <w:rsid w:val="00892A78"/>
    <w:rsid w:val="00892AD2"/>
    <w:rsid w:val="00893374"/>
    <w:rsid w:val="008933AE"/>
    <w:rsid w:val="008935B9"/>
    <w:rsid w:val="00893890"/>
    <w:rsid w:val="00893A6F"/>
    <w:rsid w:val="00893F0C"/>
    <w:rsid w:val="00893F78"/>
    <w:rsid w:val="00894107"/>
    <w:rsid w:val="008942A4"/>
    <w:rsid w:val="008953FF"/>
    <w:rsid w:val="008959D8"/>
    <w:rsid w:val="00896645"/>
    <w:rsid w:val="00896B30"/>
    <w:rsid w:val="00897114"/>
    <w:rsid w:val="00897586"/>
    <w:rsid w:val="008A00BA"/>
    <w:rsid w:val="008A0382"/>
    <w:rsid w:val="008A0825"/>
    <w:rsid w:val="008A0C77"/>
    <w:rsid w:val="008A18A9"/>
    <w:rsid w:val="008A1EC2"/>
    <w:rsid w:val="008A2A9E"/>
    <w:rsid w:val="008A2EB5"/>
    <w:rsid w:val="008A31F5"/>
    <w:rsid w:val="008A33CF"/>
    <w:rsid w:val="008A3729"/>
    <w:rsid w:val="008A385B"/>
    <w:rsid w:val="008A3EDB"/>
    <w:rsid w:val="008A4F93"/>
    <w:rsid w:val="008A6334"/>
    <w:rsid w:val="008A68BC"/>
    <w:rsid w:val="008A6BDC"/>
    <w:rsid w:val="008A747A"/>
    <w:rsid w:val="008A7FF2"/>
    <w:rsid w:val="008B0092"/>
    <w:rsid w:val="008B0BC8"/>
    <w:rsid w:val="008B0DF5"/>
    <w:rsid w:val="008B0FEB"/>
    <w:rsid w:val="008B11A9"/>
    <w:rsid w:val="008B2294"/>
    <w:rsid w:val="008B245E"/>
    <w:rsid w:val="008B2B3B"/>
    <w:rsid w:val="008B2BB6"/>
    <w:rsid w:val="008B2DBE"/>
    <w:rsid w:val="008B2F7F"/>
    <w:rsid w:val="008B2F8B"/>
    <w:rsid w:val="008B38E8"/>
    <w:rsid w:val="008B3D6D"/>
    <w:rsid w:val="008B45A0"/>
    <w:rsid w:val="008B45AC"/>
    <w:rsid w:val="008B46F5"/>
    <w:rsid w:val="008B48DF"/>
    <w:rsid w:val="008B4FCE"/>
    <w:rsid w:val="008B67EA"/>
    <w:rsid w:val="008B6CFC"/>
    <w:rsid w:val="008B6D32"/>
    <w:rsid w:val="008B6EA6"/>
    <w:rsid w:val="008B727B"/>
    <w:rsid w:val="008B7329"/>
    <w:rsid w:val="008B7606"/>
    <w:rsid w:val="008B7D52"/>
    <w:rsid w:val="008B7D93"/>
    <w:rsid w:val="008C0128"/>
    <w:rsid w:val="008C0270"/>
    <w:rsid w:val="008C0340"/>
    <w:rsid w:val="008C0871"/>
    <w:rsid w:val="008C0B25"/>
    <w:rsid w:val="008C1A67"/>
    <w:rsid w:val="008C1C64"/>
    <w:rsid w:val="008C1EB5"/>
    <w:rsid w:val="008C27CC"/>
    <w:rsid w:val="008C5082"/>
    <w:rsid w:val="008C63FD"/>
    <w:rsid w:val="008C6527"/>
    <w:rsid w:val="008C75D8"/>
    <w:rsid w:val="008C76BA"/>
    <w:rsid w:val="008C7C87"/>
    <w:rsid w:val="008D0CAF"/>
    <w:rsid w:val="008D14B4"/>
    <w:rsid w:val="008D20D2"/>
    <w:rsid w:val="008D2F02"/>
    <w:rsid w:val="008D3109"/>
    <w:rsid w:val="008D3159"/>
    <w:rsid w:val="008D31CB"/>
    <w:rsid w:val="008D37C4"/>
    <w:rsid w:val="008D39E2"/>
    <w:rsid w:val="008D4043"/>
    <w:rsid w:val="008D4978"/>
    <w:rsid w:val="008D4AD3"/>
    <w:rsid w:val="008D5FF8"/>
    <w:rsid w:val="008D6420"/>
    <w:rsid w:val="008D6BC4"/>
    <w:rsid w:val="008D6D3A"/>
    <w:rsid w:val="008D6DB3"/>
    <w:rsid w:val="008E0437"/>
    <w:rsid w:val="008E08FD"/>
    <w:rsid w:val="008E09FC"/>
    <w:rsid w:val="008E12E7"/>
    <w:rsid w:val="008E13B4"/>
    <w:rsid w:val="008E1F3A"/>
    <w:rsid w:val="008E2AD0"/>
    <w:rsid w:val="008E38DF"/>
    <w:rsid w:val="008E4705"/>
    <w:rsid w:val="008E498F"/>
    <w:rsid w:val="008E4FDC"/>
    <w:rsid w:val="008E4FE5"/>
    <w:rsid w:val="008E57D2"/>
    <w:rsid w:val="008E6082"/>
    <w:rsid w:val="008E64E4"/>
    <w:rsid w:val="008E64F8"/>
    <w:rsid w:val="008E6693"/>
    <w:rsid w:val="008E77C8"/>
    <w:rsid w:val="008E7921"/>
    <w:rsid w:val="008E7C25"/>
    <w:rsid w:val="008F0E25"/>
    <w:rsid w:val="008F0ECC"/>
    <w:rsid w:val="008F1569"/>
    <w:rsid w:val="008F1744"/>
    <w:rsid w:val="008F2313"/>
    <w:rsid w:val="008F294E"/>
    <w:rsid w:val="008F2AE6"/>
    <w:rsid w:val="008F2B76"/>
    <w:rsid w:val="008F2E45"/>
    <w:rsid w:val="008F37FA"/>
    <w:rsid w:val="008F3B22"/>
    <w:rsid w:val="008F4223"/>
    <w:rsid w:val="008F4CD3"/>
    <w:rsid w:val="008F534F"/>
    <w:rsid w:val="008F577F"/>
    <w:rsid w:val="008F6004"/>
    <w:rsid w:val="008F632B"/>
    <w:rsid w:val="008F6432"/>
    <w:rsid w:val="008F66D4"/>
    <w:rsid w:val="008F67DD"/>
    <w:rsid w:val="008F75E8"/>
    <w:rsid w:val="008F78C0"/>
    <w:rsid w:val="009013C6"/>
    <w:rsid w:val="009022E1"/>
    <w:rsid w:val="00902AB8"/>
    <w:rsid w:val="00903226"/>
    <w:rsid w:val="009035AE"/>
    <w:rsid w:val="0090362C"/>
    <w:rsid w:val="009037F2"/>
    <w:rsid w:val="00903C74"/>
    <w:rsid w:val="0090469A"/>
    <w:rsid w:val="00904813"/>
    <w:rsid w:val="00905F5D"/>
    <w:rsid w:val="009062A8"/>
    <w:rsid w:val="00907679"/>
    <w:rsid w:val="0090772D"/>
    <w:rsid w:val="0090789D"/>
    <w:rsid w:val="00907ECC"/>
    <w:rsid w:val="0091005E"/>
    <w:rsid w:val="00910790"/>
    <w:rsid w:val="00910C4E"/>
    <w:rsid w:val="00911411"/>
    <w:rsid w:val="00912022"/>
    <w:rsid w:val="00912134"/>
    <w:rsid w:val="00912355"/>
    <w:rsid w:val="00914E10"/>
    <w:rsid w:val="00914ED2"/>
    <w:rsid w:val="00916085"/>
    <w:rsid w:val="00916490"/>
    <w:rsid w:val="00916A31"/>
    <w:rsid w:val="00916C31"/>
    <w:rsid w:val="00916ED0"/>
    <w:rsid w:val="00916EE9"/>
    <w:rsid w:val="0091742E"/>
    <w:rsid w:val="0092021C"/>
    <w:rsid w:val="00920450"/>
    <w:rsid w:val="009207A7"/>
    <w:rsid w:val="0092102E"/>
    <w:rsid w:val="00921EF8"/>
    <w:rsid w:val="00922B62"/>
    <w:rsid w:val="00923887"/>
    <w:rsid w:val="00924123"/>
    <w:rsid w:val="009241C5"/>
    <w:rsid w:val="0092450E"/>
    <w:rsid w:val="00924EFB"/>
    <w:rsid w:val="00925A48"/>
    <w:rsid w:val="00926094"/>
    <w:rsid w:val="009265FC"/>
    <w:rsid w:val="00927251"/>
    <w:rsid w:val="00927BE1"/>
    <w:rsid w:val="00930CAF"/>
    <w:rsid w:val="0093175E"/>
    <w:rsid w:val="009320F3"/>
    <w:rsid w:val="00932BA0"/>
    <w:rsid w:val="00932E52"/>
    <w:rsid w:val="00933412"/>
    <w:rsid w:val="00933847"/>
    <w:rsid w:val="00933F4D"/>
    <w:rsid w:val="0093405C"/>
    <w:rsid w:val="00934DD8"/>
    <w:rsid w:val="00935A28"/>
    <w:rsid w:val="00936018"/>
    <w:rsid w:val="00936322"/>
    <w:rsid w:val="0093692A"/>
    <w:rsid w:val="00937CEE"/>
    <w:rsid w:val="00940634"/>
    <w:rsid w:val="00940700"/>
    <w:rsid w:val="009409A4"/>
    <w:rsid w:val="009412EE"/>
    <w:rsid w:val="009415EF"/>
    <w:rsid w:val="009417FC"/>
    <w:rsid w:val="00941800"/>
    <w:rsid w:val="009419A0"/>
    <w:rsid w:val="00942478"/>
    <w:rsid w:val="009434E4"/>
    <w:rsid w:val="0094353D"/>
    <w:rsid w:val="009438AB"/>
    <w:rsid w:val="00943B75"/>
    <w:rsid w:val="00943B80"/>
    <w:rsid w:val="009448BA"/>
    <w:rsid w:val="00946BDC"/>
    <w:rsid w:val="00946F00"/>
    <w:rsid w:val="0094787B"/>
    <w:rsid w:val="00951951"/>
    <w:rsid w:val="009522EC"/>
    <w:rsid w:val="00952914"/>
    <w:rsid w:val="00952A63"/>
    <w:rsid w:val="00954294"/>
    <w:rsid w:val="009543CE"/>
    <w:rsid w:val="009555B8"/>
    <w:rsid w:val="00955AA6"/>
    <w:rsid w:val="00956025"/>
    <w:rsid w:val="00957E6D"/>
    <w:rsid w:val="00957EEF"/>
    <w:rsid w:val="00957F7A"/>
    <w:rsid w:val="009601E1"/>
    <w:rsid w:val="00960438"/>
    <w:rsid w:val="009605E8"/>
    <w:rsid w:val="0096080E"/>
    <w:rsid w:val="0096115F"/>
    <w:rsid w:val="00961581"/>
    <w:rsid w:val="00962B42"/>
    <w:rsid w:val="00963070"/>
    <w:rsid w:val="00963806"/>
    <w:rsid w:val="009639E0"/>
    <w:rsid w:val="009642AC"/>
    <w:rsid w:val="00964318"/>
    <w:rsid w:val="00964379"/>
    <w:rsid w:val="00964A0B"/>
    <w:rsid w:val="00964BE8"/>
    <w:rsid w:val="00964E3A"/>
    <w:rsid w:val="00964E55"/>
    <w:rsid w:val="00965BF9"/>
    <w:rsid w:val="0096639C"/>
    <w:rsid w:val="00967449"/>
    <w:rsid w:val="0096758C"/>
    <w:rsid w:val="00967A30"/>
    <w:rsid w:val="0097008E"/>
    <w:rsid w:val="009704FF"/>
    <w:rsid w:val="00970769"/>
    <w:rsid w:val="009710F8"/>
    <w:rsid w:val="00971232"/>
    <w:rsid w:val="009721F2"/>
    <w:rsid w:val="00972221"/>
    <w:rsid w:val="009727D0"/>
    <w:rsid w:val="00972877"/>
    <w:rsid w:val="00973015"/>
    <w:rsid w:val="009733BC"/>
    <w:rsid w:val="00973627"/>
    <w:rsid w:val="0097432B"/>
    <w:rsid w:val="009747E6"/>
    <w:rsid w:val="009750A2"/>
    <w:rsid w:val="00975246"/>
    <w:rsid w:val="009754E7"/>
    <w:rsid w:val="00975747"/>
    <w:rsid w:val="00975771"/>
    <w:rsid w:val="00975B74"/>
    <w:rsid w:val="00975BAF"/>
    <w:rsid w:val="00975F4F"/>
    <w:rsid w:val="0097631F"/>
    <w:rsid w:val="00976B46"/>
    <w:rsid w:val="00976EC0"/>
    <w:rsid w:val="00976F33"/>
    <w:rsid w:val="00977646"/>
    <w:rsid w:val="009777AD"/>
    <w:rsid w:val="00977925"/>
    <w:rsid w:val="00977D13"/>
    <w:rsid w:val="00977E14"/>
    <w:rsid w:val="00980A4F"/>
    <w:rsid w:val="009810CF"/>
    <w:rsid w:val="009813BE"/>
    <w:rsid w:val="00981F6D"/>
    <w:rsid w:val="009830A0"/>
    <w:rsid w:val="0098310E"/>
    <w:rsid w:val="00983670"/>
    <w:rsid w:val="009837AE"/>
    <w:rsid w:val="00983A3D"/>
    <w:rsid w:val="00983D5E"/>
    <w:rsid w:val="00983DBB"/>
    <w:rsid w:val="00984581"/>
    <w:rsid w:val="009848E8"/>
    <w:rsid w:val="00984A78"/>
    <w:rsid w:val="00985703"/>
    <w:rsid w:val="00985B02"/>
    <w:rsid w:val="00985B68"/>
    <w:rsid w:val="00985F20"/>
    <w:rsid w:val="00986195"/>
    <w:rsid w:val="00987DF8"/>
    <w:rsid w:val="00990193"/>
    <w:rsid w:val="00990C06"/>
    <w:rsid w:val="009917C7"/>
    <w:rsid w:val="00991E05"/>
    <w:rsid w:val="0099270E"/>
    <w:rsid w:val="00992767"/>
    <w:rsid w:val="00992B68"/>
    <w:rsid w:val="0099328A"/>
    <w:rsid w:val="0099444E"/>
    <w:rsid w:val="009944D1"/>
    <w:rsid w:val="00994C0A"/>
    <w:rsid w:val="00994FD7"/>
    <w:rsid w:val="0099519E"/>
    <w:rsid w:val="00995299"/>
    <w:rsid w:val="009952A4"/>
    <w:rsid w:val="0099556D"/>
    <w:rsid w:val="0099574E"/>
    <w:rsid w:val="0099640D"/>
    <w:rsid w:val="0099647F"/>
    <w:rsid w:val="0099689A"/>
    <w:rsid w:val="00996DC8"/>
    <w:rsid w:val="00996EDB"/>
    <w:rsid w:val="009A0E27"/>
    <w:rsid w:val="009A12BC"/>
    <w:rsid w:val="009A1659"/>
    <w:rsid w:val="009A1694"/>
    <w:rsid w:val="009A1D60"/>
    <w:rsid w:val="009A209B"/>
    <w:rsid w:val="009A21B6"/>
    <w:rsid w:val="009A255F"/>
    <w:rsid w:val="009A298B"/>
    <w:rsid w:val="009A2A09"/>
    <w:rsid w:val="009A2F48"/>
    <w:rsid w:val="009A3337"/>
    <w:rsid w:val="009A3B6B"/>
    <w:rsid w:val="009A483E"/>
    <w:rsid w:val="009A4B24"/>
    <w:rsid w:val="009A58EC"/>
    <w:rsid w:val="009A5987"/>
    <w:rsid w:val="009A5AEF"/>
    <w:rsid w:val="009A5BBB"/>
    <w:rsid w:val="009A5F37"/>
    <w:rsid w:val="009A60DB"/>
    <w:rsid w:val="009A6DB3"/>
    <w:rsid w:val="009A7019"/>
    <w:rsid w:val="009A7C95"/>
    <w:rsid w:val="009A7F71"/>
    <w:rsid w:val="009B020D"/>
    <w:rsid w:val="009B0519"/>
    <w:rsid w:val="009B0A47"/>
    <w:rsid w:val="009B0A92"/>
    <w:rsid w:val="009B0AFD"/>
    <w:rsid w:val="009B4252"/>
    <w:rsid w:val="009B4553"/>
    <w:rsid w:val="009B469C"/>
    <w:rsid w:val="009B5809"/>
    <w:rsid w:val="009B5A8C"/>
    <w:rsid w:val="009B60B9"/>
    <w:rsid w:val="009B6178"/>
    <w:rsid w:val="009B64FB"/>
    <w:rsid w:val="009B71A6"/>
    <w:rsid w:val="009C06D2"/>
    <w:rsid w:val="009C0967"/>
    <w:rsid w:val="009C0A0A"/>
    <w:rsid w:val="009C0B50"/>
    <w:rsid w:val="009C1023"/>
    <w:rsid w:val="009C11D6"/>
    <w:rsid w:val="009C1B3E"/>
    <w:rsid w:val="009C1E62"/>
    <w:rsid w:val="009C3F04"/>
    <w:rsid w:val="009C4F5A"/>
    <w:rsid w:val="009C511D"/>
    <w:rsid w:val="009C5535"/>
    <w:rsid w:val="009C5887"/>
    <w:rsid w:val="009C6914"/>
    <w:rsid w:val="009C6D98"/>
    <w:rsid w:val="009C7231"/>
    <w:rsid w:val="009C74CE"/>
    <w:rsid w:val="009D0936"/>
    <w:rsid w:val="009D1108"/>
    <w:rsid w:val="009D124C"/>
    <w:rsid w:val="009D12E3"/>
    <w:rsid w:val="009D1E9D"/>
    <w:rsid w:val="009D1F32"/>
    <w:rsid w:val="009D266C"/>
    <w:rsid w:val="009D2AF5"/>
    <w:rsid w:val="009D32E6"/>
    <w:rsid w:val="009D337A"/>
    <w:rsid w:val="009D3C78"/>
    <w:rsid w:val="009D4371"/>
    <w:rsid w:val="009D4663"/>
    <w:rsid w:val="009D4873"/>
    <w:rsid w:val="009D4DFE"/>
    <w:rsid w:val="009D5143"/>
    <w:rsid w:val="009D5374"/>
    <w:rsid w:val="009D57C2"/>
    <w:rsid w:val="009D5AFA"/>
    <w:rsid w:val="009D5FD4"/>
    <w:rsid w:val="009D6043"/>
    <w:rsid w:val="009D70DA"/>
    <w:rsid w:val="009D7146"/>
    <w:rsid w:val="009D79BE"/>
    <w:rsid w:val="009D7C45"/>
    <w:rsid w:val="009E07D9"/>
    <w:rsid w:val="009E2093"/>
    <w:rsid w:val="009E22C1"/>
    <w:rsid w:val="009E25FB"/>
    <w:rsid w:val="009E2606"/>
    <w:rsid w:val="009E3890"/>
    <w:rsid w:val="009E3D77"/>
    <w:rsid w:val="009E40A2"/>
    <w:rsid w:val="009E5008"/>
    <w:rsid w:val="009E5375"/>
    <w:rsid w:val="009E5F80"/>
    <w:rsid w:val="009E62EB"/>
    <w:rsid w:val="009E67FA"/>
    <w:rsid w:val="009E6C51"/>
    <w:rsid w:val="009E6E4C"/>
    <w:rsid w:val="009E6F7F"/>
    <w:rsid w:val="009E7B37"/>
    <w:rsid w:val="009F019E"/>
    <w:rsid w:val="009F0C17"/>
    <w:rsid w:val="009F0DE8"/>
    <w:rsid w:val="009F10AD"/>
    <w:rsid w:val="009F162E"/>
    <w:rsid w:val="009F28BB"/>
    <w:rsid w:val="009F2A5D"/>
    <w:rsid w:val="009F354C"/>
    <w:rsid w:val="009F3706"/>
    <w:rsid w:val="009F3C21"/>
    <w:rsid w:val="009F5003"/>
    <w:rsid w:val="009F6680"/>
    <w:rsid w:val="009F6F1C"/>
    <w:rsid w:val="009F766A"/>
    <w:rsid w:val="009F7CFC"/>
    <w:rsid w:val="00A0068C"/>
    <w:rsid w:val="00A00995"/>
    <w:rsid w:val="00A009CC"/>
    <w:rsid w:val="00A00E37"/>
    <w:rsid w:val="00A0102C"/>
    <w:rsid w:val="00A010F9"/>
    <w:rsid w:val="00A01713"/>
    <w:rsid w:val="00A01F0A"/>
    <w:rsid w:val="00A0200D"/>
    <w:rsid w:val="00A03641"/>
    <w:rsid w:val="00A03C1B"/>
    <w:rsid w:val="00A04785"/>
    <w:rsid w:val="00A05BDB"/>
    <w:rsid w:val="00A06EA3"/>
    <w:rsid w:val="00A07186"/>
    <w:rsid w:val="00A077BA"/>
    <w:rsid w:val="00A10D4E"/>
    <w:rsid w:val="00A11115"/>
    <w:rsid w:val="00A11CC7"/>
    <w:rsid w:val="00A11F85"/>
    <w:rsid w:val="00A1219E"/>
    <w:rsid w:val="00A126DE"/>
    <w:rsid w:val="00A12F2B"/>
    <w:rsid w:val="00A13379"/>
    <w:rsid w:val="00A13A71"/>
    <w:rsid w:val="00A147E1"/>
    <w:rsid w:val="00A14CA5"/>
    <w:rsid w:val="00A14E5B"/>
    <w:rsid w:val="00A15038"/>
    <w:rsid w:val="00A15CC5"/>
    <w:rsid w:val="00A162C2"/>
    <w:rsid w:val="00A16FC3"/>
    <w:rsid w:val="00A176D2"/>
    <w:rsid w:val="00A20016"/>
    <w:rsid w:val="00A2013E"/>
    <w:rsid w:val="00A20827"/>
    <w:rsid w:val="00A20F9D"/>
    <w:rsid w:val="00A221F6"/>
    <w:rsid w:val="00A22B5D"/>
    <w:rsid w:val="00A23022"/>
    <w:rsid w:val="00A2329F"/>
    <w:rsid w:val="00A23A94"/>
    <w:rsid w:val="00A24643"/>
    <w:rsid w:val="00A25108"/>
    <w:rsid w:val="00A2561B"/>
    <w:rsid w:val="00A259BC"/>
    <w:rsid w:val="00A2684C"/>
    <w:rsid w:val="00A26863"/>
    <w:rsid w:val="00A26A27"/>
    <w:rsid w:val="00A26D5F"/>
    <w:rsid w:val="00A26D61"/>
    <w:rsid w:val="00A27B57"/>
    <w:rsid w:val="00A31E75"/>
    <w:rsid w:val="00A31E96"/>
    <w:rsid w:val="00A32B56"/>
    <w:rsid w:val="00A33BF4"/>
    <w:rsid w:val="00A33D4B"/>
    <w:rsid w:val="00A34737"/>
    <w:rsid w:val="00A34B21"/>
    <w:rsid w:val="00A34BD1"/>
    <w:rsid w:val="00A350AE"/>
    <w:rsid w:val="00A35320"/>
    <w:rsid w:val="00A35518"/>
    <w:rsid w:val="00A35A33"/>
    <w:rsid w:val="00A362B6"/>
    <w:rsid w:val="00A36B8F"/>
    <w:rsid w:val="00A36DFB"/>
    <w:rsid w:val="00A371BE"/>
    <w:rsid w:val="00A40C13"/>
    <w:rsid w:val="00A41448"/>
    <w:rsid w:val="00A414D1"/>
    <w:rsid w:val="00A41E9F"/>
    <w:rsid w:val="00A4233E"/>
    <w:rsid w:val="00A425C8"/>
    <w:rsid w:val="00A42E30"/>
    <w:rsid w:val="00A42F46"/>
    <w:rsid w:val="00A4300E"/>
    <w:rsid w:val="00A43112"/>
    <w:rsid w:val="00A43DAF"/>
    <w:rsid w:val="00A43F4D"/>
    <w:rsid w:val="00A446F4"/>
    <w:rsid w:val="00A449A5"/>
    <w:rsid w:val="00A44CD5"/>
    <w:rsid w:val="00A44D59"/>
    <w:rsid w:val="00A4517A"/>
    <w:rsid w:val="00A452AF"/>
    <w:rsid w:val="00A462FF"/>
    <w:rsid w:val="00A4640A"/>
    <w:rsid w:val="00A4678A"/>
    <w:rsid w:val="00A4681E"/>
    <w:rsid w:val="00A46A58"/>
    <w:rsid w:val="00A50322"/>
    <w:rsid w:val="00A50502"/>
    <w:rsid w:val="00A5109D"/>
    <w:rsid w:val="00A510AB"/>
    <w:rsid w:val="00A5114F"/>
    <w:rsid w:val="00A51E82"/>
    <w:rsid w:val="00A53276"/>
    <w:rsid w:val="00A53766"/>
    <w:rsid w:val="00A537B1"/>
    <w:rsid w:val="00A538BD"/>
    <w:rsid w:val="00A53C73"/>
    <w:rsid w:val="00A54AD9"/>
    <w:rsid w:val="00A55737"/>
    <w:rsid w:val="00A55D67"/>
    <w:rsid w:val="00A56691"/>
    <w:rsid w:val="00A56D1B"/>
    <w:rsid w:val="00A57952"/>
    <w:rsid w:val="00A57BA5"/>
    <w:rsid w:val="00A60878"/>
    <w:rsid w:val="00A61230"/>
    <w:rsid w:val="00A627C3"/>
    <w:rsid w:val="00A63027"/>
    <w:rsid w:val="00A631D6"/>
    <w:rsid w:val="00A63313"/>
    <w:rsid w:val="00A634A2"/>
    <w:rsid w:val="00A63DBD"/>
    <w:rsid w:val="00A63E65"/>
    <w:rsid w:val="00A646F0"/>
    <w:rsid w:val="00A64C97"/>
    <w:rsid w:val="00A64E42"/>
    <w:rsid w:val="00A64E9A"/>
    <w:rsid w:val="00A65282"/>
    <w:rsid w:val="00A657FD"/>
    <w:rsid w:val="00A65935"/>
    <w:rsid w:val="00A66926"/>
    <w:rsid w:val="00A66CD6"/>
    <w:rsid w:val="00A66D75"/>
    <w:rsid w:val="00A67824"/>
    <w:rsid w:val="00A70022"/>
    <w:rsid w:val="00A7083A"/>
    <w:rsid w:val="00A70C3D"/>
    <w:rsid w:val="00A720C3"/>
    <w:rsid w:val="00A720DF"/>
    <w:rsid w:val="00A72287"/>
    <w:rsid w:val="00A7283B"/>
    <w:rsid w:val="00A7286E"/>
    <w:rsid w:val="00A73161"/>
    <w:rsid w:val="00A7334B"/>
    <w:rsid w:val="00A73579"/>
    <w:rsid w:val="00A743FB"/>
    <w:rsid w:val="00A7455B"/>
    <w:rsid w:val="00A7501D"/>
    <w:rsid w:val="00A750A1"/>
    <w:rsid w:val="00A7529E"/>
    <w:rsid w:val="00A754CC"/>
    <w:rsid w:val="00A75600"/>
    <w:rsid w:val="00A756BE"/>
    <w:rsid w:val="00A76035"/>
    <w:rsid w:val="00A7647A"/>
    <w:rsid w:val="00A765B9"/>
    <w:rsid w:val="00A768FC"/>
    <w:rsid w:val="00A77C5A"/>
    <w:rsid w:val="00A8017D"/>
    <w:rsid w:val="00A80C4F"/>
    <w:rsid w:val="00A81304"/>
    <w:rsid w:val="00A81B9D"/>
    <w:rsid w:val="00A82255"/>
    <w:rsid w:val="00A83049"/>
    <w:rsid w:val="00A8351A"/>
    <w:rsid w:val="00A8426E"/>
    <w:rsid w:val="00A845AC"/>
    <w:rsid w:val="00A84A91"/>
    <w:rsid w:val="00A8513C"/>
    <w:rsid w:val="00A85275"/>
    <w:rsid w:val="00A858E9"/>
    <w:rsid w:val="00A86AA2"/>
    <w:rsid w:val="00A86E3C"/>
    <w:rsid w:val="00A8734A"/>
    <w:rsid w:val="00A878F3"/>
    <w:rsid w:val="00A90CE0"/>
    <w:rsid w:val="00A9131F"/>
    <w:rsid w:val="00A91E15"/>
    <w:rsid w:val="00A91F28"/>
    <w:rsid w:val="00A91FFF"/>
    <w:rsid w:val="00A927CA"/>
    <w:rsid w:val="00A92D91"/>
    <w:rsid w:val="00A92E6B"/>
    <w:rsid w:val="00A93D25"/>
    <w:rsid w:val="00A93F62"/>
    <w:rsid w:val="00A944BC"/>
    <w:rsid w:val="00A945A1"/>
    <w:rsid w:val="00A9508A"/>
    <w:rsid w:val="00A9572A"/>
    <w:rsid w:val="00A95A61"/>
    <w:rsid w:val="00A95EAF"/>
    <w:rsid w:val="00A9621D"/>
    <w:rsid w:val="00A96C7D"/>
    <w:rsid w:val="00A9777F"/>
    <w:rsid w:val="00AA1C32"/>
    <w:rsid w:val="00AA1FDA"/>
    <w:rsid w:val="00AA240B"/>
    <w:rsid w:val="00AA28EC"/>
    <w:rsid w:val="00AA2CFE"/>
    <w:rsid w:val="00AA34BF"/>
    <w:rsid w:val="00AA39F0"/>
    <w:rsid w:val="00AA3A3F"/>
    <w:rsid w:val="00AA3A6B"/>
    <w:rsid w:val="00AA401E"/>
    <w:rsid w:val="00AA42DE"/>
    <w:rsid w:val="00AA451A"/>
    <w:rsid w:val="00AA4642"/>
    <w:rsid w:val="00AA46F2"/>
    <w:rsid w:val="00AA4783"/>
    <w:rsid w:val="00AA4912"/>
    <w:rsid w:val="00AA4B66"/>
    <w:rsid w:val="00AA4D4C"/>
    <w:rsid w:val="00AA609B"/>
    <w:rsid w:val="00AA61ED"/>
    <w:rsid w:val="00AA6C3B"/>
    <w:rsid w:val="00AB0292"/>
    <w:rsid w:val="00AB067C"/>
    <w:rsid w:val="00AB0DB6"/>
    <w:rsid w:val="00AB0E53"/>
    <w:rsid w:val="00AB12AF"/>
    <w:rsid w:val="00AB1420"/>
    <w:rsid w:val="00AB16CA"/>
    <w:rsid w:val="00AB1A2B"/>
    <w:rsid w:val="00AB1CDC"/>
    <w:rsid w:val="00AB23FC"/>
    <w:rsid w:val="00AB434C"/>
    <w:rsid w:val="00AB4399"/>
    <w:rsid w:val="00AB4770"/>
    <w:rsid w:val="00AB5058"/>
    <w:rsid w:val="00AB55CB"/>
    <w:rsid w:val="00AB5F08"/>
    <w:rsid w:val="00AB6D5B"/>
    <w:rsid w:val="00AB6D9B"/>
    <w:rsid w:val="00AB7521"/>
    <w:rsid w:val="00AB76B5"/>
    <w:rsid w:val="00AB7FF5"/>
    <w:rsid w:val="00AC0418"/>
    <w:rsid w:val="00AC0C35"/>
    <w:rsid w:val="00AC17AE"/>
    <w:rsid w:val="00AC1AE8"/>
    <w:rsid w:val="00AC1EF1"/>
    <w:rsid w:val="00AC2684"/>
    <w:rsid w:val="00AC26A7"/>
    <w:rsid w:val="00AC2C6C"/>
    <w:rsid w:val="00AC2F2B"/>
    <w:rsid w:val="00AC50EA"/>
    <w:rsid w:val="00AC5660"/>
    <w:rsid w:val="00AC5E8B"/>
    <w:rsid w:val="00AC62B9"/>
    <w:rsid w:val="00AC6377"/>
    <w:rsid w:val="00AC63D6"/>
    <w:rsid w:val="00AC6577"/>
    <w:rsid w:val="00AC65B7"/>
    <w:rsid w:val="00AC6AE9"/>
    <w:rsid w:val="00AC6BC7"/>
    <w:rsid w:val="00AC6EAC"/>
    <w:rsid w:val="00AD06E6"/>
    <w:rsid w:val="00AD086A"/>
    <w:rsid w:val="00AD1023"/>
    <w:rsid w:val="00AD12EB"/>
    <w:rsid w:val="00AD1C34"/>
    <w:rsid w:val="00AD22DD"/>
    <w:rsid w:val="00AD2D83"/>
    <w:rsid w:val="00AD3335"/>
    <w:rsid w:val="00AD3644"/>
    <w:rsid w:val="00AD476D"/>
    <w:rsid w:val="00AD4DB9"/>
    <w:rsid w:val="00AD4F23"/>
    <w:rsid w:val="00AD5395"/>
    <w:rsid w:val="00AD55F7"/>
    <w:rsid w:val="00AD5E61"/>
    <w:rsid w:val="00AD6652"/>
    <w:rsid w:val="00AE07DC"/>
    <w:rsid w:val="00AE0C4B"/>
    <w:rsid w:val="00AE0D0D"/>
    <w:rsid w:val="00AE0DA9"/>
    <w:rsid w:val="00AE118B"/>
    <w:rsid w:val="00AE17E9"/>
    <w:rsid w:val="00AE2407"/>
    <w:rsid w:val="00AE2909"/>
    <w:rsid w:val="00AE3B4E"/>
    <w:rsid w:val="00AE3CE1"/>
    <w:rsid w:val="00AE4101"/>
    <w:rsid w:val="00AE468D"/>
    <w:rsid w:val="00AE4954"/>
    <w:rsid w:val="00AE4DB0"/>
    <w:rsid w:val="00AE4F30"/>
    <w:rsid w:val="00AE5056"/>
    <w:rsid w:val="00AE63FB"/>
    <w:rsid w:val="00AE6A55"/>
    <w:rsid w:val="00AE798B"/>
    <w:rsid w:val="00AE7A37"/>
    <w:rsid w:val="00AE7A84"/>
    <w:rsid w:val="00AF0213"/>
    <w:rsid w:val="00AF0284"/>
    <w:rsid w:val="00AF0775"/>
    <w:rsid w:val="00AF091A"/>
    <w:rsid w:val="00AF0D60"/>
    <w:rsid w:val="00AF0FBD"/>
    <w:rsid w:val="00AF10B9"/>
    <w:rsid w:val="00AF19E2"/>
    <w:rsid w:val="00AF1EA8"/>
    <w:rsid w:val="00AF227E"/>
    <w:rsid w:val="00AF263D"/>
    <w:rsid w:val="00AF28B5"/>
    <w:rsid w:val="00AF2F1A"/>
    <w:rsid w:val="00AF371B"/>
    <w:rsid w:val="00AF3726"/>
    <w:rsid w:val="00AF43D2"/>
    <w:rsid w:val="00AF4603"/>
    <w:rsid w:val="00AF4783"/>
    <w:rsid w:val="00AF48BC"/>
    <w:rsid w:val="00AF48CA"/>
    <w:rsid w:val="00AF4A2F"/>
    <w:rsid w:val="00AF5163"/>
    <w:rsid w:val="00AF56A4"/>
    <w:rsid w:val="00AF577B"/>
    <w:rsid w:val="00AF5BD9"/>
    <w:rsid w:val="00AF706C"/>
    <w:rsid w:val="00AF7724"/>
    <w:rsid w:val="00AF78DE"/>
    <w:rsid w:val="00AF7D90"/>
    <w:rsid w:val="00B003A1"/>
    <w:rsid w:val="00B0064E"/>
    <w:rsid w:val="00B00C61"/>
    <w:rsid w:val="00B00D28"/>
    <w:rsid w:val="00B01115"/>
    <w:rsid w:val="00B016DE"/>
    <w:rsid w:val="00B01DFB"/>
    <w:rsid w:val="00B02298"/>
    <w:rsid w:val="00B02571"/>
    <w:rsid w:val="00B02A34"/>
    <w:rsid w:val="00B02A5B"/>
    <w:rsid w:val="00B02D20"/>
    <w:rsid w:val="00B02FA6"/>
    <w:rsid w:val="00B031EB"/>
    <w:rsid w:val="00B034F6"/>
    <w:rsid w:val="00B03769"/>
    <w:rsid w:val="00B037B0"/>
    <w:rsid w:val="00B03A6C"/>
    <w:rsid w:val="00B03D4E"/>
    <w:rsid w:val="00B0401E"/>
    <w:rsid w:val="00B05159"/>
    <w:rsid w:val="00B052FA"/>
    <w:rsid w:val="00B05750"/>
    <w:rsid w:val="00B05FF0"/>
    <w:rsid w:val="00B06744"/>
    <w:rsid w:val="00B06843"/>
    <w:rsid w:val="00B10098"/>
    <w:rsid w:val="00B10515"/>
    <w:rsid w:val="00B10EA8"/>
    <w:rsid w:val="00B10EF5"/>
    <w:rsid w:val="00B10F6C"/>
    <w:rsid w:val="00B112F3"/>
    <w:rsid w:val="00B1179F"/>
    <w:rsid w:val="00B117D6"/>
    <w:rsid w:val="00B12BE0"/>
    <w:rsid w:val="00B12D18"/>
    <w:rsid w:val="00B130C4"/>
    <w:rsid w:val="00B13626"/>
    <w:rsid w:val="00B143EF"/>
    <w:rsid w:val="00B144BA"/>
    <w:rsid w:val="00B14D03"/>
    <w:rsid w:val="00B1514B"/>
    <w:rsid w:val="00B156F2"/>
    <w:rsid w:val="00B15919"/>
    <w:rsid w:val="00B161E6"/>
    <w:rsid w:val="00B163E1"/>
    <w:rsid w:val="00B169C0"/>
    <w:rsid w:val="00B16A93"/>
    <w:rsid w:val="00B16F5E"/>
    <w:rsid w:val="00B17201"/>
    <w:rsid w:val="00B179DF"/>
    <w:rsid w:val="00B17A9E"/>
    <w:rsid w:val="00B2034B"/>
    <w:rsid w:val="00B2046F"/>
    <w:rsid w:val="00B20FB7"/>
    <w:rsid w:val="00B21305"/>
    <w:rsid w:val="00B21377"/>
    <w:rsid w:val="00B2185A"/>
    <w:rsid w:val="00B21862"/>
    <w:rsid w:val="00B2278D"/>
    <w:rsid w:val="00B22EEB"/>
    <w:rsid w:val="00B2379D"/>
    <w:rsid w:val="00B24306"/>
    <w:rsid w:val="00B24FD7"/>
    <w:rsid w:val="00B251E4"/>
    <w:rsid w:val="00B264CB"/>
    <w:rsid w:val="00B26610"/>
    <w:rsid w:val="00B26F4F"/>
    <w:rsid w:val="00B270EB"/>
    <w:rsid w:val="00B2743F"/>
    <w:rsid w:val="00B279C0"/>
    <w:rsid w:val="00B27EE6"/>
    <w:rsid w:val="00B27F18"/>
    <w:rsid w:val="00B27FC2"/>
    <w:rsid w:val="00B3011F"/>
    <w:rsid w:val="00B30207"/>
    <w:rsid w:val="00B30AD3"/>
    <w:rsid w:val="00B3124B"/>
    <w:rsid w:val="00B318CF"/>
    <w:rsid w:val="00B31BC0"/>
    <w:rsid w:val="00B31DEC"/>
    <w:rsid w:val="00B31FB2"/>
    <w:rsid w:val="00B33AEF"/>
    <w:rsid w:val="00B340E7"/>
    <w:rsid w:val="00B345B3"/>
    <w:rsid w:val="00B345D8"/>
    <w:rsid w:val="00B35818"/>
    <w:rsid w:val="00B35821"/>
    <w:rsid w:val="00B36C2C"/>
    <w:rsid w:val="00B37935"/>
    <w:rsid w:val="00B37F4E"/>
    <w:rsid w:val="00B40107"/>
    <w:rsid w:val="00B401A8"/>
    <w:rsid w:val="00B404E2"/>
    <w:rsid w:val="00B410C7"/>
    <w:rsid w:val="00B41570"/>
    <w:rsid w:val="00B42858"/>
    <w:rsid w:val="00B428C9"/>
    <w:rsid w:val="00B43643"/>
    <w:rsid w:val="00B43B62"/>
    <w:rsid w:val="00B43C02"/>
    <w:rsid w:val="00B43C78"/>
    <w:rsid w:val="00B43F30"/>
    <w:rsid w:val="00B43F8A"/>
    <w:rsid w:val="00B440CE"/>
    <w:rsid w:val="00B445AB"/>
    <w:rsid w:val="00B4461D"/>
    <w:rsid w:val="00B45724"/>
    <w:rsid w:val="00B459DB"/>
    <w:rsid w:val="00B45A16"/>
    <w:rsid w:val="00B45E9D"/>
    <w:rsid w:val="00B46626"/>
    <w:rsid w:val="00B4707E"/>
    <w:rsid w:val="00B47E2C"/>
    <w:rsid w:val="00B508AD"/>
    <w:rsid w:val="00B50E48"/>
    <w:rsid w:val="00B5280E"/>
    <w:rsid w:val="00B52A20"/>
    <w:rsid w:val="00B52AA1"/>
    <w:rsid w:val="00B52AB4"/>
    <w:rsid w:val="00B52E1C"/>
    <w:rsid w:val="00B52EF5"/>
    <w:rsid w:val="00B53815"/>
    <w:rsid w:val="00B54F73"/>
    <w:rsid w:val="00B54F8B"/>
    <w:rsid w:val="00B550D0"/>
    <w:rsid w:val="00B555B5"/>
    <w:rsid w:val="00B55AB2"/>
    <w:rsid w:val="00B55CB6"/>
    <w:rsid w:val="00B5635A"/>
    <w:rsid w:val="00B5765A"/>
    <w:rsid w:val="00B576BB"/>
    <w:rsid w:val="00B601A3"/>
    <w:rsid w:val="00B607F3"/>
    <w:rsid w:val="00B613AF"/>
    <w:rsid w:val="00B613CC"/>
    <w:rsid w:val="00B61622"/>
    <w:rsid w:val="00B61D2A"/>
    <w:rsid w:val="00B620EE"/>
    <w:rsid w:val="00B6286B"/>
    <w:rsid w:val="00B62963"/>
    <w:rsid w:val="00B62EFD"/>
    <w:rsid w:val="00B63115"/>
    <w:rsid w:val="00B63C27"/>
    <w:rsid w:val="00B63CF0"/>
    <w:rsid w:val="00B63F26"/>
    <w:rsid w:val="00B64195"/>
    <w:rsid w:val="00B65654"/>
    <w:rsid w:val="00B65657"/>
    <w:rsid w:val="00B6567B"/>
    <w:rsid w:val="00B657BC"/>
    <w:rsid w:val="00B65A0C"/>
    <w:rsid w:val="00B660B9"/>
    <w:rsid w:val="00B6643B"/>
    <w:rsid w:val="00B66829"/>
    <w:rsid w:val="00B668B5"/>
    <w:rsid w:val="00B66936"/>
    <w:rsid w:val="00B66C0B"/>
    <w:rsid w:val="00B670B9"/>
    <w:rsid w:val="00B674A1"/>
    <w:rsid w:val="00B70028"/>
    <w:rsid w:val="00B70035"/>
    <w:rsid w:val="00B701B1"/>
    <w:rsid w:val="00B70429"/>
    <w:rsid w:val="00B70820"/>
    <w:rsid w:val="00B70C03"/>
    <w:rsid w:val="00B70D35"/>
    <w:rsid w:val="00B713C9"/>
    <w:rsid w:val="00B72461"/>
    <w:rsid w:val="00B7274D"/>
    <w:rsid w:val="00B72D5E"/>
    <w:rsid w:val="00B73242"/>
    <w:rsid w:val="00B732D4"/>
    <w:rsid w:val="00B738A1"/>
    <w:rsid w:val="00B74E4D"/>
    <w:rsid w:val="00B751D5"/>
    <w:rsid w:val="00B75E34"/>
    <w:rsid w:val="00B766C8"/>
    <w:rsid w:val="00B76BC2"/>
    <w:rsid w:val="00B7730D"/>
    <w:rsid w:val="00B77DD1"/>
    <w:rsid w:val="00B80387"/>
    <w:rsid w:val="00B805E4"/>
    <w:rsid w:val="00B8087A"/>
    <w:rsid w:val="00B81D9E"/>
    <w:rsid w:val="00B82014"/>
    <w:rsid w:val="00B82726"/>
    <w:rsid w:val="00B83290"/>
    <w:rsid w:val="00B83771"/>
    <w:rsid w:val="00B83B35"/>
    <w:rsid w:val="00B83E17"/>
    <w:rsid w:val="00B84C7C"/>
    <w:rsid w:val="00B8506F"/>
    <w:rsid w:val="00B85213"/>
    <w:rsid w:val="00B85ACF"/>
    <w:rsid w:val="00B85B4B"/>
    <w:rsid w:val="00B85C13"/>
    <w:rsid w:val="00B85F6C"/>
    <w:rsid w:val="00B8661C"/>
    <w:rsid w:val="00B87414"/>
    <w:rsid w:val="00B87E2B"/>
    <w:rsid w:val="00B87E90"/>
    <w:rsid w:val="00B9013F"/>
    <w:rsid w:val="00B91D9A"/>
    <w:rsid w:val="00B9341D"/>
    <w:rsid w:val="00B9404B"/>
    <w:rsid w:val="00B953DA"/>
    <w:rsid w:val="00B95D0A"/>
    <w:rsid w:val="00B96114"/>
    <w:rsid w:val="00B9663C"/>
    <w:rsid w:val="00B966B8"/>
    <w:rsid w:val="00B9732E"/>
    <w:rsid w:val="00BA0BA1"/>
    <w:rsid w:val="00BA0C7C"/>
    <w:rsid w:val="00BA167B"/>
    <w:rsid w:val="00BA1AD9"/>
    <w:rsid w:val="00BA1AF1"/>
    <w:rsid w:val="00BA1B00"/>
    <w:rsid w:val="00BA21DB"/>
    <w:rsid w:val="00BA224B"/>
    <w:rsid w:val="00BA22A4"/>
    <w:rsid w:val="00BA27EC"/>
    <w:rsid w:val="00BA2B87"/>
    <w:rsid w:val="00BA321F"/>
    <w:rsid w:val="00BA38BA"/>
    <w:rsid w:val="00BA3B5A"/>
    <w:rsid w:val="00BA3B6C"/>
    <w:rsid w:val="00BA4682"/>
    <w:rsid w:val="00BA46A0"/>
    <w:rsid w:val="00BA4C30"/>
    <w:rsid w:val="00BA4E65"/>
    <w:rsid w:val="00BA4EB0"/>
    <w:rsid w:val="00BA67B7"/>
    <w:rsid w:val="00BA7618"/>
    <w:rsid w:val="00BA7724"/>
    <w:rsid w:val="00BA7AF1"/>
    <w:rsid w:val="00BA7CC9"/>
    <w:rsid w:val="00BB01C1"/>
    <w:rsid w:val="00BB0A60"/>
    <w:rsid w:val="00BB13E0"/>
    <w:rsid w:val="00BB1571"/>
    <w:rsid w:val="00BB16BD"/>
    <w:rsid w:val="00BB26EA"/>
    <w:rsid w:val="00BB32E6"/>
    <w:rsid w:val="00BB4148"/>
    <w:rsid w:val="00BB43A2"/>
    <w:rsid w:val="00BB5324"/>
    <w:rsid w:val="00BB5D4E"/>
    <w:rsid w:val="00BB6BB9"/>
    <w:rsid w:val="00BB7A85"/>
    <w:rsid w:val="00BC0CE3"/>
    <w:rsid w:val="00BC1202"/>
    <w:rsid w:val="00BC15ED"/>
    <w:rsid w:val="00BC1608"/>
    <w:rsid w:val="00BC3D0B"/>
    <w:rsid w:val="00BC4238"/>
    <w:rsid w:val="00BC4DBE"/>
    <w:rsid w:val="00BC5D00"/>
    <w:rsid w:val="00BC5E12"/>
    <w:rsid w:val="00BC605B"/>
    <w:rsid w:val="00BC6607"/>
    <w:rsid w:val="00BC75B1"/>
    <w:rsid w:val="00BC7656"/>
    <w:rsid w:val="00BC78DB"/>
    <w:rsid w:val="00BC7BD1"/>
    <w:rsid w:val="00BD024B"/>
    <w:rsid w:val="00BD0385"/>
    <w:rsid w:val="00BD0590"/>
    <w:rsid w:val="00BD06DC"/>
    <w:rsid w:val="00BD10F1"/>
    <w:rsid w:val="00BD1453"/>
    <w:rsid w:val="00BD1596"/>
    <w:rsid w:val="00BD366D"/>
    <w:rsid w:val="00BD38D1"/>
    <w:rsid w:val="00BD3D4B"/>
    <w:rsid w:val="00BD4353"/>
    <w:rsid w:val="00BD48A8"/>
    <w:rsid w:val="00BD537A"/>
    <w:rsid w:val="00BD5961"/>
    <w:rsid w:val="00BD5A37"/>
    <w:rsid w:val="00BD6470"/>
    <w:rsid w:val="00BD6499"/>
    <w:rsid w:val="00BD66E8"/>
    <w:rsid w:val="00BD69A1"/>
    <w:rsid w:val="00BD796F"/>
    <w:rsid w:val="00BD7BFE"/>
    <w:rsid w:val="00BE014F"/>
    <w:rsid w:val="00BE0294"/>
    <w:rsid w:val="00BE0AEA"/>
    <w:rsid w:val="00BE0B96"/>
    <w:rsid w:val="00BE0FDF"/>
    <w:rsid w:val="00BE1046"/>
    <w:rsid w:val="00BE1B9E"/>
    <w:rsid w:val="00BE1F8E"/>
    <w:rsid w:val="00BE2E02"/>
    <w:rsid w:val="00BE3080"/>
    <w:rsid w:val="00BE3319"/>
    <w:rsid w:val="00BE3F7F"/>
    <w:rsid w:val="00BE4111"/>
    <w:rsid w:val="00BE434C"/>
    <w:rsid w:val="00BE46BE"/>
    <w:rsid w:val="00BE5B04"/>
    <w:rsid w:val="00BE6498"/>
    <w:rsid w:val="00BE7480"/>
    <w:rsid w:val="00BE7A24"/>
    <w:rsid w:val="00BE7B47"/>
    <w:rsid w:val="00BE7F81"/>
    <w:rsid w:val="00BF0970"/>
    <w:rsid w:val="00BF1BFF"/>
    <w:rsid w:val="00BF208C"/>
    <w:rsid w:val="00BF27C1"/>
    <w:rsid w:val="00BF3373"/>
    <w:rsid w:val="00BF3C12"/>
    <w:rsid w:val="00BF452B"/>
    <w:rsid w:val="00BF48D3"/>
    <w:rsid w:val="00BF4BEA"/>
    <w:rsid w:val="00BF54B2"/>
    <w:rsid w:val="00BF56AB"/>
    <w:rsid w:val="00BF5ABD"/>
    <w:rsid w:val="00BF5DA3"/>
    <w:rsid w:val="00BF6681"/>
    <w:rsid w:val="00BF67E6"/>
    <w:rsid w:val="00BF6C3E"/>
    <w:rsid w:val="00BF6EA1"/>
    <w:rsid w:val="00BF7310"/>
    <w:rsid w:val="00BF7A93"/>
    <w:rsid w:val="00C00352"/>
    <w:rsid w:val="00C00B96"/>
    <w:rsid w:val="00C013E2"/>
    <w:rsid w:val="00C01AA9"/>
    <w:rsid w:val="00C01D27"/>
    <w:rsid w:val="00C020EF"/>
    <w:rsid w:val="00C0284E"/>
    <w:rsid w:val="00C03470"/>
    <w:rsid w:val="00C03AF4"/>
    <w:rsid w:val="00C03BB6"/>
    <w:rsid w:val="00C03CF0"/>
    <w:rsid w:val="00C04416"/>
    <w:rsid w:val="00C04749"/>
    <w:rsid w:val="00C057B7"/>
    <w:rsid w:val="00C0586B"/>
    <w:rsid w:val="00C05B6C"/>
    <w:rsid w:val="00C05DAA"/>
    <w:rsid w:val="00C05DEB"/>
    <w:rsid w:val="00C05E7F"/>
    <w:rsid w:val="00C06B99"/>
    <w:rsid w:val="00C06FDF"/>
    <w:rsid w:val="00C07357"/>
    <w:rsid w:val="00C077F9"/>
    <w:rsid w:val="00C106BC"/>
    <w:rsid w:val="00C10B81"/>
    <w:rsid w:val="00C1133B"/>
    <w:rsid w:val="00C11A61"/>
    <w:rsid w:val="00C12704"/>
    <w:rsid w:val="00C12A96"/>
    <w:rsid w:val="00C12BF2"/>
    <w:rsid w:val="00C131BE"/>
    <w:rsid w:val="00C1342D"/>
    <w:rsid w:val="00C137C3"/>
    <w:rsid w:val="00C13C4B"/>
    <w:rsid w:val="00C143AF"/>
    <w:rsid w:val="00C14639"/>
    <w:rsid w:val="00C15425"/>
    <w:rsid w:val="00C15496"/>
    <w:rsid w:val="00C15851"/>
    <w:rsid w:val="00C15BDB"/>
    <w:rsid w:val="00C15DF2"/>
    <w:rsid w:val="00C15F2A"/>
    <w:rsid w:val="00C16274"/>
    <w:rsid w:val="00C16AEB"/>
    <w:rsid w:val="00C16FD5"/>
    <w:rsid w:val="00C172C3"/>
    <w:rsid w:val="00C174F2"/>
    <w:rsid w:val="00C17A10"/>
    <w:rsid w:val="00C17A93"/>
    <w:rsid w:val="00C17B69"/>
    <w:rsid w:val="00C20207"/>
    <w:rsid w:val="00C208B5"/>
    <w:rsid w:val="00C209A9"/>
    <w:rsid w:val="00C21533"/>
    <w:rsid w:val="00C217EC"/>
    <w:rsid w:val="00C22AE3"/>
    <w:rsid w:val="00C23114"/>
    <w:rsid w:val="00C23F22"/>
    <w:rsid w:val="00C23F81"/>
    <w:rsid w:val="00C24B75"/>
    <w:rsid w:val="00C24D2E"/>
    <w:rsid w:val="00C25524"/>
    <w:rsid w:val="00C260A9"/>
    <w:rsid w:val="00C2657D"/>
    <w:rsid w:val="00C26FC0"/>
    <w:rsid w:val="00C279AD"/>
    <w:rsid w:val="00C27F20"/>
    <w:rsid w:val="00C30358"/>
    <w:rsid w:val="00C30610"/>
    <w:rsid w:val="00C30AAC"/>
    <w:rsid w:val="00C312CE"/>
    <w:rsid w:val="00C315DB"/>
    <w:rsid w:val="00C323FB"/>
    <w:rsid w:val="00C32540"/>
    <w:rsid w:val="00C32A74"/>
    <w:rsid w:val="00C32FFA"/>
    <w:rsid w:val="00C33A02"/>
    <w:rsid w:val="00C33CCD"/>
    <w:rsid w:val="00C34C52"/>
    <w:rsid w:val="00C34E74"/>
    <w:rsid w:val="00C350AD"/>
    <w:rsid w:val="00C3533D"/>
    <w:rsid w:val="00C35614"/>
    <w:rsid w:val="00C35A7F"/>
    <w:rsid w:val="00C360B3"/>
    <w:rsid w:val="00C366C1"/>
    <w:rsid w:val="00C37D8E"/>
    <w:rsid w:val="00C40389"/>
    <w:rsid w:val="00C40F89"/>
    <w:rsid w:val="00C40FBA"/>
    <w:rsid w:val="00C40FF1"/>
    <w:rsid w:val="00C43BBB"/>
    <w:rsid w:val="00C445CC"/>
    <w:rsid w:val="00C44F47"/>
    <w:rsid w:val="00C45729"/>
    <w:rsid w:val="00C46730"/>
    <w:rsid w:val="00C46874"/>
    <w:rsid w:val="00C46DF3"/>
    <w:rsid w:val="00C477AA"/>
    <w:rsid w:val="00C5019D"/>
    <w:rsid w:val="00C50B62"/>
    <w:rsid w:val="00C5166E"/>
    <w:rsid w:val="00C5198E"/>
    <w:rsid w:val="00C519CD"/>
    <w:rsid w:val="00C52308"/>
    <w:rsid w:val="00C52600"/>
    <w:rsid w:val="00C527F9"/>
    <w:rsid w:val="00C5318E"/>
    <w:rsid w:val="00C53410"/>
    <w:rsid w:val="00C54E9A"/>
    <w:rsid w:val="00C551C9"/>
    <w:rsid w:val="00C55234"/>
    <w:rsid w:val="00C55D36"/>
    <w:rsid w:val="00C55EA4"/>
    <w:rsid w:val="00C55ECD"/>
    <w:rsid w:val="00C5623D"/>
    <w:rsid w:val="00C5629B"/>
    <w:rsid w:val="00C5649B"/>
    <w:rsid w:val="00C5662F"/>
    <w:rsid w:val="00C56F07"/>
    <w:rsid w:val="00C60333"/>
    <w:rsid w:val="00C6144D"/>
    <w:rsid w:val="00C61C7B"/>
    <w:rsid w:val="00C63050"/>
    <w:rsid w:val="00C631CE"/>
    <w:rsid w:val="00C63422"/>
    <w:rsid w:val="00C6348A"/>
    <w:rsid w:val="00C63D2F"/>
    <w:rsid w:val="00C64C24"/>
    <w:rsid w:val="00C654D3"/>
    <w:rsid w:val="00C65872"/>
    <w:rsid w:val="00C65A22"/>
    <w:rsid w:val="00C65AB6"/>
    <w:rsid w:val="00C662BF"/>
    <w:rsid w:val="00C665E8"/>
    <w:rsid w:val="00C6776C"/>
    <w:rsid w:val="00C67B1F"/>
    <w:rsid w:val="00C67BDA"/>
    <w:rsid w:val="00C7013C"/>
    <w:rsid w:val="00C702FB"/>
    <w:rsid w:val="00C7095C"/>
    <w:rsid w:val="00C720DA"/>
    <w:rsid w:val="00C72197"/>
    <w:rsid w:val="00C72977"/>
    <w:rsid w:val="00C729AF"/>
    <w:rsid w:val="00C72EDA"/>
    <w:rsid w:val="00C743E6"/>
    <w:rsid w:val="00C75F95"/>
    <w:rsid w:val="00C7621E"/>
    <w:rsid w:val="00C762BA"/>
    <w:rsid w:val="00C76B9B"/>
    <w:rsid w:val="00C76C08"/>
    <w:rsid w:val="00C7766C"/>
    <w:rsid w:val="00C77EBD"/>
    <w:rsid w:val="00C81213"/>
    <w:rsid w:val="00C8122E"/>
    <w:rsid w:val="00C8135E"/>
    <w:rsid w:val="00C8154E"/>
    <w:rsid w:val="00C82C51"/>
    <w:rsid w:val="00C82D59"/>
    <w:rsid w:val="00C82E66"/>
    <w:rsid w:val="00C832F1"/>
    <w:rsid w:val="00C83583"/>
    <w:rsid w:val="00C84C59"/>
    <w:rsid w:val="00C86BF0"/>
    <w:rsid w:val="00C86F68"/>
    <w:rsid w:val="00C8731B"/>
    <w:rsid w:val="00C87895"/>
    <w:rsid w:val="00C87A2C"/>
    <w:rsid w:val="00C87B55"/>
    <w:rsid w:val="00C87E72"/>
    <w:rsid w:val="00C87EBF"/>
    <w:rsid w:val="00C903BF"/>
    <w:rsid w:val="00C903FF"/>
    <w:rsid w:val="00C9078C"/>
    <w:rsid w:val="00C90A83"/>
    <w:rsid w:val="00C90F77"/>
    <w:rsid w:val="00C91E9D"/>
    <w:rsid w:val="00C92D3B"/>
    <w:rsid w:val="00C92E0A"/>
    <w:rsid w:val="00C930DE"/>
    <w:rsid w:val="00C93B23"/>
    <w:rsid w:val="00C9478C"/>
    <w:rsid w:val="00C95372"/>
    <w:rsid w:val="00C954FA"/>
    <w:rsid w:val="00C958B9"/>
    <w:rsid w:val="00C96EDF"/>
    <w:rsid w:val="00C96FB5"/>
    <w:rsid w:val="00CA0A5E"/>
    <w:rsid w:val="00CA0B88"/>
    <w:rsid w:val="00CA1322"/>
    <w:rsid w:val="00CA2876"/>
    <w:rsid w:val="00CA2B4C"/>
    <w:rsid w:val="00CA2CFE"/>
    <w:rsid w:val="00CA37FD"/>
    <w:rsid w:val="00CA3ABF"/>
    <w:rsid w:val="00CA433B"/>
    <w:rsid w:val="00CA4537"/>
    <w:rsid w:val="00CA460B"/>
    <w:rsid w:val="00CA4AD9"/>
    <w:rsid w:val="00CA5348"/>
    <w:rsid w:val="00CA6EEB"/>
    <w:rsid w:val="00CB0312"/>
    <w:rsid w:val="00CB098C"/>
    <w:rsid w:val="00CB0B3C"/>
    <w:rsid w:val="00CB13CB"/>
    <w:rsid w:val="00CB1CFD"/>
    <w:rsid w:val="00CB1F63"/>
    <w:rsid w:val="00CB2001"/>
    <w:rsid w:val="00CB2265"/>
    <w:rsid w:val="00CB2435"/>
    <w:rsid w:val="00CB2B95"/>
    <w:rsid w:val="00CB3208"/>
    <w:rsid w:val="00CB3C11"/>
    <w:rsid w:val="00CB45D3"/>
    <w:rsid w:val="00CB4E0F"/>
    <w:rsid w:val="00CB587D"/>
    <w:rsid w:val="00CB5A09"/>
    <w:rsid w:val="00CB60AF"/>
    <w:rsid w:val="00CB66F2"/>
    <w:rsid w:val="00CB6EBC"/>
    <w:rsid w:val="00CB7316"/>
    <w:rsid w:val="00CB7E42"/>
    <w:rsid w:val="00CB7E8C"/>
    <w:rsid w:val="00CC0002"/>
    <w:rsid w:val="00CC0934"/>
    <w:rsid w:val="00CC0F9A"/>
    <w:rsid w:val="00CC1351"/>
    <w:rsid w:val="00CC13AB"/>
    <w:rsid w:val="00CC1A22"/>
    <w:rsid w:val="00CC26D3"/>
    <w:rsid w:val="00CC281F"/>
    <w:rsid w:val="00CC3DFA"/>
    <w:rsid w:val="00CC3EB7"/>
    <w:rsid w:val="00CC3F96"/>
    <w:rsid w:val="00CC4333"/>
    <w:rsid w:val="00CC46BB"/>
    <w:rsid w:val="00CC5688"/>
    <w:rsid w:val="00CC579B"/>
    <w:rsid w:val="00CC5D4D"/>
    <w:rsid w:val="00CC5F52"/>
    <w:rsid w:val="00CC6605"/>
    <w:rsid w:val="00CC6A9B"/>
    <w:rsid w:val="00CD01E8"/>
    <w:rsid w:val="00CD0716"/>
    <w:rsid w:val="00CD0A95"/>
    <w:rsid w:val="00CD12EF"/>
    <w:rsid w:val="00CD13AB"/>
    <w:rsid w:val="00CD16BF"/>
    <w:rsid w:val="00CD2736"/>
    <w:rsid w:val="00CD3639"/>
    <w:rsid w:val="00CD3ADA"/>
    <w:rsid w:val="00CD4B3F"/>
    <w:rsid w:val="00CD4E49"/>
    <w:rsid w:val="00CD4F42"/>
    <w:rsid w:val="00CD5760"/>
    <w:rsid w:val="00CD62C4"/>
    <w:rsid w:val="00CD67DD"/>
    <w:rsid w:val="00CD74DF"/>
    <w:rsid w:val="00CD7E8D"/>
    <w:rsid w:val="00CE1137"/>
    <w:rsid w:val="00CE14C3"/>
    <w:rsid w:val="00CE15F1"/>
    <w:rsid w:val="00CE1B05"/>
    <w:rsid w:val="00CE1BE6"/>
    <w:rsid w:val="00CE1C67"/>
    <w:rsid w:val="00CE26E1"/>
    <w:rsid w:val="00CE2C1E"/>
    <w:rsid w:val="00CE371A"/>
    <w:rsid w:val="00CE478C"/>
    <w:rsid w:val="00CE4821"/>
    <w:rsid w:val="00CE503A"/>
    <w:rsid w:val="00CE5428"/>
    <w:rsid w:val="00CE5A9C"/>
    <w:rsid w:val="00CE7864"/>
    <w:rsid w:val="00CE79B9"/>
    <w:rsid w:val="00CE7A89"/>
    <w:rsid w:val="00CE7C89"/>
    <w:rsid w:val="00CF0301"/>
    <w:rsid w:val="00CF037B"/>
    <w:rsid w:val="00CF0D13"/>
    <w:rsid w:val="00CF197A"/>
    <w:rsid w:val="00CF2327"/>
    <w:rsid w:val="00CF2328"/>
    <w:rsid w:val="00CF2402"/>
    <w:rsid w:val="00CF2449"/>
    <w:rsid w:val="00CF25D0"/>
    <w:rsid w:val="00CF30FD"/>
    <w:rsid w:val="00CF32DF"/>
    <w:rsid w:val="00CF3CDB"/>
    <w:rsid w:val="00CF3D22"/>
    <w:rsid w:val="00CF436E"/>
    <w:rsid w:val="00CF474E"/>
    <w:rsid w:val="00CF48ED"/>
    <w:rsid w:val="00CF4A37"/>
    <w:rsid w:val="00CF4D3E"/>
    <w:rsid w:val="00CF4D40"/>
    <w:rsid w:val="00CF5902"/>
    <w:rsid w:val="00CF6C72"/>
    <w:rsid w:val="00CF70FF"/>
    <w:rsid w:val="00CF733B"/>
    <w:rsid w:val="00CF7857"/>
    <w:rsid w:val="00CF7CEC"/>
    <w:rsid w:val="00CF7F4B"/>
    <w:rsid w:val="00CF7F9B"/>
    <w:rsid w:val="00D00124"/>
    <w:rsid w:val="00D004A2"/>
    <w:rsid w:val="00D004F8"/>
    <w:rsid w:val="00D00A52"/>
    <w:rsid w:val="00D024B8"/>
    <w:rsid w:val="00D0250C"/>
    <w:rsid w:val="00D025A1"/>
    <w:rsid w:val="00D027F2"/>
    <w:rsid w:val="00D02CD3"/>
    <w:rsid w:val="00D02DE6"/>
    <w:rsid w:val="00D02EF8"/>
    <w:rsid w:val="00D031B6"/>
    <w:rsid w:val="00D03249"/>
    <w:rsid w:val="00D0349A"/>
    <w:rsid w:val="00D034B2"/>
    <w:rsid w:val="00D03B1B"/>
    <w:rsid w:val="00D03C6B"/>
    <w:rsid w:val="00D03FCA"/>
    <w:rsid w:val="00D04324"/>
    <w:rsid w:val="00D046FE"/>
    <w:rsid w:val="00D05CA8"/>
    <w:rsid w:val="00D0703C"/>
    <w:rsid w:val="00D10146"/>
    <w:rsid w:val="00D10C95"/>
    <w:rsid w:val="00D12418"/>
    <w:rsid w:val="00D124D8"/>
    <w:rsid w:val="00D12766"/>
    <w:rsid w:val="00D12C5E"/>
    <w:rsid w:val="00D14A8F"/>
    <w:rsid w:val="00D14E9D"/>
    <w:rsid w:val="00D15071"/>
    <w:rsid w:val="00D153A4"/>
    <w:rsid w:val="00D156A9"/>
    <w:rsid w:val="00D16218"/>
    <w:rsid w:val="00D16838"/>
    <w:rsid w:val="00D16DD4"/>
    <w:rsid w:val="00D16E00"/>
    <w:rsid w:val="00D17B80"/>
    <w:rsid w:val="00D17F35"/>
    <w:rsid w:val="00D2022A"/>
    <w:rsid w:val="00D202D1"/>
    <w:rsid w:val="00D20532"/>
    <w:rsid w:val="00D206E4"/>
    <w:rsid w:val="00D20D21"/>
    <w:rsid w:val="00D21136"/>
    <w:rsid w:val="00D21753"/>
    <w:rsid w:val="00D21B6E"/>
    <w:rsid w:val="00D24528"/>
    <w:rsid w:val="00D2459A"/>
    <w:rsid w:val="00D245E7"/>
    <w:rsid w:val="00D24634"/>
    <w:rsid w:val="00D2510E"/>
    <w:rsid w:val="00D25467"/>
    <w:rsid w:val="00D25626"/>
    <w:rsid w:val="00D25E73"/>
    <w:rsid w:val="00D25EC9"/>
    <w:rsid w:val="00D26A4F"/>
    <w:rsid w:val="00D26CA1"/>
    <w:rsid w:val="00D26EE0"/>
    <w:rsid w:val="00D2735D"/>
    <w:rsid w:val="00D279B0"/>
    <w:rsid w:val="00D27C32"/>
    <w:rsid w:val="00D301C8"/>
    <w:rsid w:val="00D304B8"/>
    <w:rsid w:val="00D30615"/>
    <w:rsid w:val="00D30DC0"/>
    <w:rsid w:val="00D32F96"/>
    <w:rsid w:val="00D33002"/>
    <w:rsid w:val="00D33BAE"/>
    <w:rsid w:val="00D33BAF"/>
    <w:rsid w:val="00D33F64"/>
    <w:rsid w:val="00D3582A"/>
    <w:rsid w:val="00D35CB9"/>
    <w:rsid w:val="00D37F5A"/>
    <w:rsid w:val="00D40DA0"/>
    <w:rsid w:val="00D40EDE"/>
    <w:rsid w:val="00D40F67"/>
    <w:rsid w:val="00D4196E"/>
    <w:rsid w:val="00D41DD8"/>
    <w:rsid w:val="00D42B10"/>
    <w:rsid w:val="00D42DED"/>
    <w:rsid w:val="00D430CA"/>
    <w:rsid w:val="00D44BFE"/>
    <w:rsid w:val="00D44C9E"/>
    <w:rsid w:val="00D4519E"/>
    <w:rsid w:val="00D45248"/>
    <w:rsid w:val="00D459B2"/>
    <w:rsid w:val="00D45CAC"/>
    <w:rsid w:val="00D469F7"/>
    <w:rsid w:val="00D474BD"/>
    <w:rsid w:val="00D5147E"/>
    <w:rsid w:val="00D5192D"/>
    <w:rsid w:val="00D51CF6"/>
    <w:rsid w:val="00D52147"/>
    <w:rsid w:val="00D52196"/>
    <w:rsid w:val="00D52766"/>
    <w:rsid w:val="00D52857"/>
    <w:rsid w:val="00D5296B"/>
    <w:rsid w:val="00D52CB8"/>
    <w:rsid w:val="00D52F06"/>
    <w:rsid w:val="00D5319C"/>
    <w:rsid w:val="00D53678"/>
    <w:rsid w:val="00D53ED2"/>
    <w:rsid w:val="00D54181"/>
    <w:rsid w:val="00D54892"/>
    <w:rsid w:val="00D5543E"/>
    <w:rsid w:val="00D561B3"/>
    <w:rsid w:val="00D561E5"/>
    <w:rsid w:val="00D56391"/>
    <w:rsid w:val="00D56688"/>
    <w:rsid w:val="00D5698F"/>
    <w:rsid w:val="00D5792B"/>
    <w:rsid w:val="00D57F69"/>
    <w:rsid w:val="00D60296"/>
    <w:rsid w:val="00D605C4"/>
    <w:rsid w:val="00D60955"/>
    <w:rsid w:val="00D609D1"/>
    <w:rsid w:val="00D609DD"/>
    <w:rsid w:val="00D60F3E"/>
    <w:rsid w:val="00D615DA"/>
    <w:rsid w:val="00D61C36"/>
    <w:rsid w:val="00D62AFF"/>
    <w:rsid w:val="00D642BA"/>
    <w:rsid w:val="00D6441F"/>
    <w:rsid w:val="00D648E3"/>
    <w:rsid w:val="00D64D48"/>
    <w:rsid w:val="00D64EEF"/>
    <w:rsid w:val="00D6555C"/>
    <w:rsid w:val="00D65832"/>
    <w:rsid w:val="00D65D8F"/>
    <w:rsid w:val="00D66105"/>
    <w:rsid w:val="00D66DAF"/>
    <w:rsid w:val="00D66E66"/>
    <w:rsid w:val="00D67CF6"/>
    <w:rsid w:val="00D67DD6"/>
    <w:rsid w:val="00D67E8E"/>
    <w:rsid w:val="00D71318"/>
    <w:rsid w:val="00D71BA2"/>
    <w:rsid w:val="00D72124"/>
    <w:rsid w:val="00D72D9B"/>
    <w:rsid w:val="00D7362E"/>
    <w:rsid w:val="00D7385A"/>
    <w:rsid w:val="00D73BE0"/>
    <w:rsid w:val="00D73C29"/>
    <w:rsid w:val="00D73CB1"/>
    <w:rsid w:val="00D74054"/>
    <w:rsid w:val="00D74433"/>
    <w:rsid w:val="00D75010"/>
    <w:rsid w:val="00D75E3D"/>
    <w:rsid w:val="00D75F43"/>
    <w:rsid w:val="00D76452"/>
    <w:rsid w:val="00D76B74"/>
    <w:rsid w:val="00D77619"/>
    <w:rsid w:val="00D803B5"/>
    <w:rsid w:val="00D807B9"/>
    <w:rsid w:val="00D80D1D"/>
    <w:rsid w:val="00D83063"/>
    <w:rsid w:val="00D8347C"/>
    <w:rsid w:val="00D83587"/>
    <w:rsid w:val="00D8481E"/>
    <w:rsid w:val="00D85F57"/>
    <w:rsid w:val="00D86D87"/>
    <w:rsid w:val="00D870B7"/>
    <w:rsid w:val="00D87620"/>
    <w:rsid w:val="00D8770C"/>
    <w:rsid w:val="00D87E11"/>
    <w:rsid w:val="00D87E93"/>
    <w:rsid w:val="00D90A6E"/>
    <w:rsid w:val="00D90EAE"/>
    <w:rsid w:val="00D911B8"/>
    <w:rsid w:val="00D91811"/>
    <w:rsid w:val="00D9183A"/>
    <w:rsid w:val="00D91D6C"/>
    <w:rsid w:val="00D91E45"/>
    <w:rsid w:val="00D91F78"/>
    <w:rsid w:val="00D93470"/>
    <w:rsid w:val="00D93911"/>
    <w:rsid w:val="00D94C78"/>
    <w:rsid w:val="00D94F62"/>
    <w:rsid w:val="00D95463"/>
    <w:rsid w:val="00D95BDD"/>
    <w:rsid w:val="00D9607D"/>
    <w:rsid w:val="00D96D94"/>
    <w:rsid w:val="00DA01A3"/>
    <w:rsid w:val="00DA03A4"/>
    <w:rsid w:val="00DA08CC"/>
    <w:rsid w:val="00DA12C9"/>
    <w:rsid w:val="00DA2A3F"/>
    <w:rsid w:val="00DA3A35"/>
    <w:rsid w:val="00DA3B40"/>
    <w:rsid w:val="00DA415F"/>
    <w:rsid w:val="00DA4403"/>
    <w:rsid w:val="00DA4655"/>
    <w:rsid w:val="00DA56AE"/>
    <w:rsid w:val="00DA5956"/>
    <w:rsid w:val="00DA59D5"/>
    <w:rsid w:val="00DA5CAA"/>
    <w:rsid w:val="00DB0127"/>
    <w:rsid w:val="00DB044A"/>
    <w:rsid w:val="00DB04C5"/>
    <w:rsid w:val="00DB06D7"/>
    <w:rsid w:val="00DB0DA9"/>
    <w:rsid w:val="00DB1019"/>
    <w:rsid w:val="00DB18C0"/>
    <w:rsid w:val="00DB240F"/>
    <w:rsid w:val="00DB24FF"/>
    <w:rsid w:val="00DB3174"/>
    <w:rsid w:val="00DB31EA"/>
    <w:rsid w:val="00DB325D"/>
    <w:rsid w:val="00DB32C9"/>
    <w:rsid w:val="00DB33C9"/>
    <w:rsid w:val="00DB38C7"/>
    <w:rsid w:val="00DB39D4"/>
    <w:rsid w:val="00DB40D6"/>
    <w:rsid w:val="00DB4372"/>
    <w:rsid w:val="00DB43DA"/>
    <w:rsid w:val="00DB496B"/>
    <w:rsid w:val="00DB50F9"/>
    <w:rsid w:val="00DB5215"/>
    <w:rsid w:val="00DB5583"/>
    <w:rsid w:val="00DB6585"/>
    <w:rsid w:val="00DB6657"/>
    <w:rsid w:val="00DC0893"/>
    <w:rsid w:val="00DC0D98"/>
    <w:rsid w:val="00DC1A93"/>
    <w:rsid w:val="00DC1BB6"/>
    <w:rsid w:val="00DC2808"/>
    <w:rsid w:val="00DC2844"/>
    <w:rsid w:val="00DC32D9"/>
    <w:rsid w:val="00DC3340"/>
    <w:rsid w:val="00DC33DE"/>
    <w:rsid w:val="00DC37FF"/>
    <w:rsid w:val="00DC47A2"/>
    <w:rsid w:val="00DC4D1C"/>
    <w:rsid w:val="00DC4E51"/>
    <w:rsid w:val="00DC53A6"/>
    <w:rsid w:val="00DC5A1C"/>
    <w:rsid w:val="00DC5D0B"/>
    <w:rsid w:val="00DC639A"/>
    <w:rsid w:val="00DC65F9"/>
    <w:rsid w:val="00DC7419"/>
    <w:rsid w:val="00DC7640"/>
    <w:rsid w:val="00DC774F"/>
    <w:rsid w:val="00DC7CB5"/>
    <w:rsid w:val="00DC7CD2"/>
    <w:rsid w:val="00DD2981"/>
    <w:rsid w:val="00DD2F57"/>
    <w:rsid w:val="00DD3066"/>
    <w:rsid w:val="00DD3B50"/>
    <w:rsid w:val="00DD3D12"/>
    <w:rsid w:val="00DD4650"/>
    <w:rsid w:val="00DD482D"/>
    <w:rsid w:val="00DD4C0C"/>
    <w:rsid w:val="00DD4CBA"/>
    <w:rsid w:val="00DD4FE3"/>
    <w:rsid w:val="00DD5F97"/>
    <w:rsid w:val="00DD69D6"/>
    <w:rsid w:val="00DE044B"/>
    <w:rsid w:val="00DE086D"/>
    <w:rsid w:val="00DE1A11"/>
    <w:rsid w:val="00DE1B5E"/>
    <w:rsid w:val="00DE1D05"/>
    <w:rsid w:val="00DE21D9"/>
    <w:rsid w:val="00DE2627"/>
    <w:rsid w:val="00DE2D0E"/>
    <w:rsid w:val="00DE2F43"/>
    <w:rsid w:val="00DE320C"/>
    <w:rsid w:val="00DE3984"/>
    <w:rsid w:val="00DE3D77"/>
    <w:rsid w:val="00DE4378"/>
    <w:rsid w:val="00DE47F6"/>
    <w:rsid w:val="00DE498D"/>
    <w:rsid w:val="00DE5628"/>
    <w:rsid w:val="00DE5917"/>
    <w:rsid w:val="00DE5AD9"/>
    <w:rsid w:val="00DE60FB"/>
    <w:rsid w:val="00DE65FE"/>
    <w:rsid w:val="00DE6751"/>
    <w:rsid w:val="00DE6B21"/>
    <w:rsid w:val="00DE6B5A"/>
    <w:rsid w:val="00DE7B54"/>
    <w:rsid w:val="00DF020F"/>
    <w:rsid w:val="00DF08C9"/>
    <w:rsid w:val="00DF1340"/>
    <w:rsid w:val="00DF1768"/>
    <w:rsid w:val="00DF1D7C"/>
    <w:rsid w:val="00DF223D"/>
    <w:rsid w:val="00DF2679"/>
    <w:rsid w:val="00DF2832"/>
    <w:rsid w:val="00DF3361"/>
    <w:rsid w:val="00DF3F8E"/>
    <w:rsid w:val="00DF56BA"/>
    <w:rsid w:val="00DF599B"/>
    <w:rsid w:val="00DF5F17"/>
    <w:rsid w:val="00DF6558"/>
    <w:rsid w:val="00DF6586"/>
    <w:rsid w:val="00DF68CB"/>
    <w:rsid w:val="00DF6E05"/>
    <w:rsid w:val="00DF6FBB"/>
    <w:rsid w:val="00DF71EC"/>
    <w:rsid w:val="00DF75EC"/>
    <w:rsid w:val="00DF77A0"/>
    <w:rsid w:val="00DF7C7C"/>
    <w:rsid w:val="00E00252"/>
    <w:rsid w:val="00E00429"/>
    <w:rsid w:val="00E00A09"/>
    <w:rsid w:val="00E00A8F"/>
    <w:rsid w:val="00E00E24"/>
    <w:rsid w:val="00E01BDE"/>
    <w:rsid w:val="00E0226B"/>
    <w:rsid w:val="00E023C8"/>
    <w:rsid w:val="00E02B44"/>
    <w:rsid w:val="00E03225"/>
    <w:rsid w:val="00E03289"/>
    <w:rsid w:val="00E03723"/>
    <w:rsid w:val="00E03C1A"/>
    <w:rsid w:val="00E04134"/>
    <w:rsid w:val="00E041C6"/>
    <w:rsid w:val="00E04327"/>
    <w:rsid w:val="00E04405"/>
    <w:rsid w:val="00E04F2D"/>
    <w:rsid w:val="00E05A77"/>
    <w:rsid w:val="00E05B11"/>
    <w:rsid w:val="00E05B97"/>
    <w:rsid w:val="00E05F9C"/>
    <w:rsid w:val="00E06A51"/>
    <w:rsid w:val="00E06A7C"/>
    <w:rsid w:val="00E077BD"/>
    <w:rsid w:val="00E07FEB"/>
    <w:rsid w:val="00E10CF7"/>
    <w:rsid w:val="00E11759"/>
    <w:rsid w:val="00E1177A"/>
    <w:rsid w:val="00E12B3E"/>
    <w:rsid w:val="00E12E5B"/>
    <w:rsid w:val="00E13FBA"/>
    <w:rsid w:val="00E13FD5"/>
    <w:rsid w:val="00E146A6"/>
    <w:rsid w:val="00E14744"/>
    <w:rsid w:val="00E1549A"/>
    <w:rsid w:val="00E16201"/>
    <w:rsid w:val="00E1696F"/>
    <w:rsid w:val="00E16B7D"/>
    <w:rsid w:val="00E170E0"/>
    <w:rsid w:val="00E175D7"/>
    <w:rsid w:val="00E177C3"/>
    <w:rsid w:val="00E20145"/>
    <w:rsid w:val="00E2050C"/>
    <w:rsid w:val="00E20562"/>
    <w:rsid w:val="00E209FC"/>
    <w:rsid w:val="00E20AAA"/>
    <w:rsid w:val="00E20AC7"/>
    <w:rsid w:val="00E227A9"/>
    <w:rsid w:val="00E22AE9"/>
    <w:rsid w:val="00E22ED5"/>
    <w:rsid w:val="00E2386C"/>
    <w:rsid w:val="00E24F53"/>
    <w:rsid w:val="00E2574F"/>
    <w:rsid w:val="00E25D7F"/>
    <w:rsid w:val="00E265E0"/>
    <w:rsid w:val="00E26EF0"/>
    <w:rsid w:val="00E27909"/>
    <w:rsid w:val="00E27915"/>
    <w:rsid w:val="00E30249"/>
    <w:rsid w:val="00E30680"/>
    <w:rsid w:val="00E30A6D"/>
    <w:rsid w:val="00E30C99"/>
    <w:rsid w:val="00E30E85"/>
    <w:rsid w:val="00E31033"/>
    <w:rsid w:val="00E311D8"/>
    <w:rsid w:val="00E315FB"/>
    <w:rsid w:val="00E31BBE"/>
    <w:rsid w:val="00E31E94"/>
    <w:rsid w:val="00E32353"/>
    <w:rsid w:val="00E32589"/>
    <w:rsid w:val="00E32602"/>
    <w:rsid w:val="00E32AE9"/>
    <w:rsid w:val="00E3403F"/>
    <w:rsid w:val="00E349FE"/>
    <w:rsid w:val="00E35382"/>
    <w:rsid w:val="00E35641"/>
    <w:rsid w:val="00E35932"/>
    <w:rsid w:val="00E3645D"/>
    <w:rsid w:val="00E3648D"/>
    <w:rsid w:val="00E37909"/>
    <w:rsid w:val="00E379EE"/>
    <w:rsid w:val="00E37B59"/>
    <w:rsid w:val="00E40891"/>
    <w:rsid w:val="00E408B1"/>
    <w:rsid w:val="00E40D5B"/>
    <w:rsid w:val="00E414B5"/>
    <w:rsid w:val="00E41B60"/>
    <w:rsid w:val="00E42771"/>
    <w:rsid w:val="00E42C22"/>
    <w:rsid w:val="00E43306"/>
    <w:rsid w:val="00E43593"/>
    <w:rsid w:val="00E44A9B"/>
    <w:rsid w:val="00E44CD8"/>
    <w:rsid w:val="00E44DCA"/>
    <w:rsid w:val="00E4563E"/>
    <w:rsid w:val="00E46E79"/>
    <w:rsid w:val="00E47A77"/>
    <w:rsid w:val="00E509F5"/>
    <w:rsid w:val="00E51542"/>
    <w:rsid w:val="00E518E1"/>
    <w:rsid w:val="00E51BB9"/>
    <w:rsid w:val="00E51F9E"/>
    <w:rsid w:val="00E52687"/>
    <w:rsid w:val="00E52DC7"/>
    <w:rsid w:val="00E539E9"/>
    <w:rsid w:val="00E53A72"/>
    <w:rsid w:val="00E541DB"/>
    <w:rsid w:val="00E544B9"/>
    <w:rsid w:val="00E544C4"/>
    <w:rsid w:val="00E54EA4"/>
    <w:rsid w:val="00E55A6F"/>
    <w:rsid w:val="00E569F4"/>
    <w:rsid w:val="00E56B9C"/>
    <w:rsid w:val="00E60B64"/>
    <w:rsid w:val="00E60BFC"/>
    <w:rsid w:val="00E612AA"/>
    <w:rsid w:val="00E6168B"/>
    <w:rsid w:val="00E6197A"/>
    <w:rsid w:val="00E61D23"/>
    <w:rsid w:val="00E622DE"/>
    <w:rsid w:val="00E62309"/>
    <w:rsid w:val="00E623F9"/>
    <w:rsid w:val="00E629CD"/>
    <w:rsid w:val="00E62C7F"/>
    <w:rsid w:val="00E6324F"/>
    <w:rsid w:val="00E632ED"/>
    <w:rsid w:val="00E64240"/>
    <w:rsid w:val="00E651CA"/>
    <w:rsid w:val="00E66096"/>
    <w:rsid w:val="00E675C8"/>
    <w:rsid w:val="00E7034A"/>
    <w:rsid w:val="00E7082F"/>
    <w:rsid w:val="00E7102A"/>
    <w:rsid w:val="00E7155C"/>
    <w:rsid w:val="00E72214"/>
    <w:rsid w:val="00E7256C"/>
    <w:rsid w:val="00E72CEA"/>
    <w:rsid w:val="00E73A1B"/>
    <w:rsid w:val="00E73C43"/>
    <w:rsid w:val="00E73D12"/>
    <w:rsid w:val="00E73D48"/>
    <w:rsid w:val="00E74076"/>
    <w:rsid w:val="00E740B8"/>
    <w:rsid w:val="00E7410D"/>
    <w:rsid w:val="00E74182"/>
    <w:rsid w:val="00E74499"/>
    <w:rsid w:val="00E7494B"/>
    <w:rsid w:val="00E74E8F"/>
    <w:rsid w:val="00E7526A"/>
    <w:rsid w:val="00E75496"/>
    <w:rsid w:val="00E760FF"/>
    <w:rsid w:val="00E7625A"/>
    <w:rsid w:val="00E762AC"/>
    <w:rsid w:val="00E765D7"/>
    <w:rsid w:val="00E775D4"/>
    <w:rsid w:val="00E77DBD"/>
    <w:rsid w:val="00E80B30"/>
    <w:rsid w:val="00E80FA7"/>
    <w:rsid w:val="00E81CAA"/>
    <w:rsid w:val="00E8204F"/>
    <w:rsid w:val="00E82D9D"/>
    <w:rsid w:val="00E839DB"/>
    <w:rsid w:val="00E83CC6"/>
    <w:rsid w:val="00E84353"/>
    <w:rsid w:val="00E85BFF"/>
    <w:rsid w:val="00E85E43"/>
    <w:rsid w:val="00E85FB0"/>
    <w:rsid w:val="00E86045"/>
    <w:rsid w:val="00E866A2"/>
    <w:rsid w:val="00E86DBE"/>
    <w:rsid w:val="00E870BD"/>
    <w:rsid w:val="00E872EE"/>
    <w:rsid w:val="00E87367"/>
    <w:rsid w:val="00E87743"/>
    <w:rsid w:val="00E921C3"/>
    <w:rsid w:val="00E9276F"/>
    <w:rsid w:val="00E92B36"/>
    <w:rsid w:val="00E93076"/>
    <w:rsid w:val="00E930DB"/>
    <w:rsid w:val="00E93EBB"/>
    <w:rsid w:val="00E952DB"/>
    <w:rsid w:val="00E96740"/>
    <w:rsid w:val="00E96AD0"/>
    <w:rsid w:val="00E96E58"/>
    <w:rsid w:val="00E975B3"/>
    <w:rsid w:val="00E97980"/>
    <w:rsid w:val="00EA07C2"/>
    <w:rsid w:val="00EA22AE"/>
    <w:rsid w:val="00EA24FC"/>
    <w:rsid w:val="00EA2BA7"/>
    <w:rsid w:val="00EA460B"/>
    <w:rsid w:val="00EA4DDB"/>
    <w:rsid w:val="00EA53C4"/>
    <w:rsid w:val="00EA53D2"/>
    <w:rsid w:val="00EA53F4"/>
    <w:rsid w:val="00EA55C6"/>
    <w:rsid w:val="00EA65F7"/>
    <w:rsid w:val="00EA6830"/>
    <w:rsid w:val="00EA6A2F"/>
    <w:rsid w:val="00EA6DC3"/>
    <w:rsid w:val="00EA758E"/>
    <w:rsid w:val="00EA7CBB"/>
    <w:rsid w:val="00EA7EC6"/>
    <w:rsid w:val="00EA7F75"/>
    <w:rsid w:val="00EB014C"/>
    <w:rsid w:val="00EB0B80"/>
    <w:rsid w:val="00EB1209"/>
    <w:rsid w:val="00EB20CE"/>
    <w:rsid w:val="00EB246E"/>
    <w:rsid w:val="00EB27F4"/>
    <w:rsid w:val="00EB2AA3"/>
    <w:rsid w:val="00EB2B12"/>
    <w:rsid w:val="00EB345F"/>
    <w:rsid w:val="00EB3DC9"/>
    <w:rsid w:val="00EB40EB"/>
    <w:rsid w:val="00EB469C"/>
    <w:rsid w:val="00EB50AB"/>
    <w:rsid w:val="00EB550A"/>
    <w:rsid w:val="00EB654E"/>
    <w:rsid w:val="00EB6664"/>
    <w:rsid w:val="00EB6C75"/>
    <w:rsid w:val="00EB6CAA"/>
    <w:rsid w:val="00EB7680"/>
    <w:rsid w:val="00EB794A"/>
    <w:rsid w:val="00EB7A8E"/>
    <w:rsid w:val="00EC0233"/>
    <w:rsid w:val="00EC0B73"/>
    <w:rsid w:val="00EC0C77"/>
    <w:rsid w:val="00EC10E1"/>
    <w:rsid w:val="00EC12CC"/>
    <w:rsid w:val="00EC1786"/>
    <w:rsid w:val="00EC27AC"/>
    <w:rsid w:val="00EC28BC"/>
    <w:rsid w:val="00EC39C3"/>
    <w:rsid w:val="00EC3E5B"/>
    <w:rsid w:val="00EC3F09"/>
    <w:rsid w:val="00EC3FE4"/>
    <w:rsid w:val="00EC4CED"/>
    <w:rsid w:val="00EC4DEF"/>
    <w:rsid w:val="00EC50C3"/>
    <w:rsid w:val="00EC52EF"/>
    <w:rsid w:val="00EC5436"/>
    <w:rsid w:val="00EC59DE"/>
    <w:rsid w:val="00EC5BAD"/>
    <w:rsid w:val="00EC621E"/>
    <w:rsid w:val="00EC63A2"/>
    <w:rsid w:val="00EC6C43"/>
    <w:rsid w:val="00EC73FD"/>
    <w:rsid w:val="00EC7AE2"/>
    <w:rsid w:val="00EC7AFE"/>
    <w:rsid w:val="00EC7D58"/>
    <w:rsid w:val="00ED19F3"/>
    <w:rsid w:val="00ED1A7E"/>
    <w:rsid w:val="00ED2168"/>
    <w:rsid w:val="00ED220F"/>
    <w:rsid w:val="00ED247F"/>
    <w:rsid w:val="00ED2BF8"/>
    <w:rsid w:val="00ED2C14"/>
    <w:rsid w:val="00ED328D"/>
    <w:rsid w:val="00ED3C8E"/>
    <w:rsid w:val="00ED41D1"/>
    <w:rsid w:val="00ED4417"/>
    <w:rsid w:val="00ED448B"/>
    <w:rsid w:val="00ED4F07"/>
    <w:rsid w:val="00ED548C"/>
    <w:rsid w:val="00ED5A49"/>
    <w:rsid w:val="00ED6DA9"/>
    <w:rsid w:val="00ED782C"/>
    <w:rsid w:val="00EE037C"/>
    <w:rsid w:val="00EE0A31"/>
    <w:rsid w:val="00EE0D67"/>
    <w:rsid w:val="00EE1A25"/>
    <w:rsid w:val="00EE1EC4"/>
    <w:rsid w:val="00EE1EEF"/>
    <w:rsid w:val="00EE222F"/>
    <w:rsid w:val="00EE2230"/>
    <w:rsid w:val="00EE2C72"/>
    <w:rsid w:val="00EE3440"/>
    <w:rsid w:val="00EE38CB"/>
    <w:rsid w:val="00EE3F98"/>
    <w:rsid w:val="00EE40BF"/>
    <w:rsid w:val="00EE4DD6"/>
    <w:rsid w:val="00EE56B8"/>
    <w:rsid w:val="00EE5A0C"/>
    <w:rsid w:val="00EE6064"/>
    <w:rsid w:val="00EE60FB"/>
    <w:rsid w:val="00EE6FBF"/>
    <w:rsid w:val="00EE765A"/>
    <w:rsid w:val="00EF0788"/>
    <w:rsid w:val="00EF0A23"/>
    <w:rsid w:val="00EF0F01"/>
    <w:rsid w:val="00EF0F67"/>
    <w:rsid w:val="00EF1056"/>
    <w:rsid w:val="00EF1378"/>
    <w:rsid w:val="00EF31EB"/>
    <w:rsid w:val="00EF3422"/>
    <w:rsid w:val="00EF39A8"/>
    <w:rsid w:val="00EF4044"/>
    <w:rsid w:val="00EF40BE"/>
    <w:rsid w:val="00EF4523"/>
    <w:rsid w:val="00EF5461"/>
    <w:rsid w:val="00EF55E3"/>
    <w:rsid w:val="00EF5BF9"/>
    <w:rsid w:val="00EF5EFC"/>
    <w:rsid w:val="00EF63BA"/>
    <w:rsid w:val="00EF67B8"/>
    <w:rsid w:val="00EF6B0A"/>
    <w:rsid w:val="00EF6C3F"/>
    <w:rsid w:val="00EF7030"/>
    <w:rsid w:val="00EF757C"/>
    <w:rsid w:val="00EF77F0"/>
    <w:rsid w:val="00EF7D03"/>
    <w:rsid w:val="00F00212"/>
    <w:rsid w:val="00F0170C"/>
    <w:rsid w:val="00F023FC"/>
    <w:rsid w:val="00F0263E"/>
    <w:rsid w:val="00F02AA8"/>
    <w:rsid w:val="00F0302D"/>
    <w:rsid w:val="00F03ACB"/>
    <w:rsid w:val="00F03ACF"/>
    <w:rsid w:val="00F03C9A"/>
    <w:rsid w:val="00F04001"/>
    <w:rsid w:val="00F05385"/>
    <w:rsid w:val="00F05684"/>
    <w:rsid w:val="00F05A7F"/>
    <w:rsid w:val="00F06957"/>
    <w:rsid w:val="00F074DD"/>
    <w:rsid w:val="00F076C8"/>
    <w:rsid w:val="00F078D0"/>
    <w:rsid w:val="00F07B9C"/>
    <w:rsid w:val="00F10217"/>
    <w:rsid w:val="00F10C4E"/>
    <w:rsid w:val="00F10D6E"/>
    <w:rsid w:val="00F10EF3"/>
    <w:rsid w:val="00F1114E"/>
    <w:rsid w:val="00F112BC"/>
    <w:rsid w:val="00F11BC5"/>
    <w:rsid w:val="00F11DBF"/>
    <w:rsid w:val="00F122BD"/>
    <w:rsid w:val="00F12F15"/>
    <w:rsid w:val="00F12F4F"/>
    <w:rsid w:val="00F13092"/>
    <w:rsid w:val="00F1480C"/>
    <w:rsid w:val="00F14FA9"/>
    <w:rsid w:val="00F15263"/>
    <w:rsid w:val="00F157C4"/>
    <w:rsid w:val="00F15998"/>
    <w:rsid w:val="00F162A3"/>
    <w:rsid w:val="00F162E7"/>
    <w:rsid w:val="00F16A04"/>
    <w:rsid w:val="00F172CC"/>
    <w:rsid w:val="00F177D0"/>
    <w:rsid w:val="00F17ADC"/>
    <w:rsid w:val="00F17C2A"/>
    <w:rsid w:val="00F20C59"/>
    <w:rsid w:val="00F20D76"/>
    <w:rsid w:val="00F2136E"/>
    <w:rsid w:val="00F215DE"/>
    <w:rsid w:val="00F229EB"/>
    <w:rsid w:val="00F22FA2"/>
    <w:rsid w:val="00F25DB5"/>
    <w:rsid w:val="00F25DB7"/>
    <w:rsid w:val="00F2601F"/>
    <w:rsid w:val="00F260D2"/>
    <w:rsid w:val="00F27012"/>
    <w:rsid w:val="00F2772E"/>
    <w:rsid w:val="00F27EDB"/>
    <w:rsid w:val="00F3017D"/>
    <w:rsid w:val="00F306D9"/>
    <w:rsid w:val="00F30CA9"/>
    <w:rsid w:val="00F32395"/>
    <w:rsid w:val="00F32525"/>
    <w:rsid w:val="00F33554"/>
    <w:rsid w:val="00F33892"/>
    <w:rsid w:val="00F344F9"/>
    <w:rsid w:val="00F34DA8"/>
    <w:rsid w:val="00F3505D"/>
    <w:rsid w:val="00F35309"/>
    <w:rsid w:val="00F3566D"/>
    <w:rsid w:val="00F35DA2"/>
    <w:rsid w:val="00F36188"/>
    <w:rsid w:val="00F361E0"/>
    <w:rsid w:val="00F36376"/>
    <w:rsid w:val="00F36B75"/>
    <w:rsid w:val="00F36DD1"/>
    <w:rsid w:val="00F37050"/>
    <w:rsid w:val="00F37130"/>
    <w:rsid w:val="00F37185"/>
    <w:rsid w:val="00F40843"/>
    <w:rsid w:val="00F417E3"/>
    <w:rsid w:val="00F41A7C"/>
    <w:rsid w:val="00F41CBA"/>
    <w:rsid w:val="00F426BE"/>
    <w:rsid w:val="00F43837"/>
    <w:rsid w:val="00F44FBC"/>
    <w:rsid w:val="00F450E7"/>
    <w:rsid w:val="00F45377"/>
    <w:rsid w:val="00F45B69"/>
    <w:rsid w:val="00F45CFB"/>
    <w:rsid w:val="00F45D3C"/>
    <w:rsid w:val="00F45DA1"/>
    <w:rsid w:val="00F46144"/>
    <w:rsid w:val="00F46B21"/>
    <w:rsid w:val="00F46D9E"/>
    <w:rsid w:val="00F47376"/>
    <w:rsid w:val="00F474EC"/>
    <w:rsid w:val="00F50821"/>
    <w:rsid w:val="00F509C3"/>
    <w:rsid w:val="00F50C96"/>
    <w:rsid w:val="00F51104"/>
    <w:rsid w:val="00F5130D"/>
    <w:rsid w:val="00F517D9"/>
    <w:rsid w:val="00F51870"/>
    <w:rsid w:val="00F519EA"/>
    <w:rsid w:val="00F522A0"/>
    <w:rsid w:val="00F52F52"/>
    <w:rsid w:val="00F531A9"/>
    <w:rsid w:val="00F53D03"/>
    <w:rsid w:val="00F540DA"/>
    <w:rsid w:val="00F54CE3"/>
    <w:rsid w:val="00F558DB"/>
    <w:rsid w:val="00F55BD6"/>
    <w:rsid w:val="00F55D8C"/>
    <w:rsid w:val="00F57208"/>
    <w:rsid w:val="00F577A2"/>
    <w:rsid w:val="00F5785E"/>
    <w:rsid w:val="00F57E6B"/>
    <w:rsid w:val="00F60457"/>
    <w:rsid w:val="00F60669"/>
    <w:rsid w:val="00F60A56"/>
    <w:rsid w:val="00F60F80"/>
    <w:rsid w:val="00F6142A"/>
    <w:rsid w:val="00F6152F"/>
    <w:rsid w:val="00F61674"/>
    <w:rsid w:val="00F62909"/>
    <w:rsid w:val="00F64265"/>
    <w:rsid w:val="00F64286"/>
    <w:rsid w:val="00F64FEF"/>
    <w:rsid w:val="00F6578A"/>
    <w:rsid w:val="00F65896"/>
    <w:rsid w:val="00F66045"/>
    <w:rsid w:val="00F66A50"/>
    <w:rsid w:val="00F66B0B"/>
    <w:rsid w:val="00F672F1"/>
    <w:rsid w:val="00F67CFD"/>
    <w:rsid w:val="00F706AB"/>
    <w:rsid w:val="00F70983"/>
    <w:rsid w:val="00F71044"/>
    <w:rsid w:val="00F71048"/>
    <w:rsid w:val="00F72C53"/>
    <w:rsid w:val="00F73435"/>
    <w:rsid w:val="00F736D3"/>
    <w:rsid w:val="00F7414B"/>
    <w:rsid w:val="00F74672"/>
    <w:rsid w:val="00F753FF"/>
    <w:rsid w:val="00F7558C"/>
    <w:rsid w:val="00F75A57"/>
    <w:rsid w:val="00F75DC4"/>
    <w:rsid w:val="00F760A1"/>
    <w:rsid w:val="00F76AF9"/>
    <w:rsid w:val="00F77164"/>
    <w:rsid w:val="00F77960"/>
    <w:rsid w:val="00F802FF"/>
    <w:rsid w:val="00F807A0"/>
    <w:rsid w:val="00F80941"/>
    <w:rsid w:val="00F82135"/>
    <w:rsid w:val="00F823C3"/>
    <w:rsid w:val="00F82662"/>
    <w:rsid w:val="00F8299B"/>
    <w:rsid w:val="00F82C42"/>
    <w:rsid w:val="00F83B82"/>
    <w:rsid w:val="00F83BF8"/>
    <w:rsid w:val="00F83CE9"/>
    <w:rsid w:val="00F8401B"/>
    <w:rsid w:val="00F842C3"/>
    <w:rsid w:val="00F84534"/>
    <w:rsid w:val="00F845CE"/>
    <w:rsid w:val="00F84D6A"/>
    <w:rsid w:val="00F84DB3"/>
    <w:rsid w:val="00F853E0"/>
    <w:rsid w:val="00F85486"/>
    <w:rsid w:val="00F858CF"/>
    <w:rsid w:val="00F85B0F"/>
    <w:rsid w:val="00F85CB1"/>
    <w:rsid w:val="00F86A5D"/>
    <w:rsid w:val="00F86B15"/>
    <w:rsid w:val="00F86DE0"/>
    <w:rsid w:val="00F87472"/>
    <w:rsid w:val="00F90499"/>
    <w:rsid w:val="00F907EB"/>
    <w:rsid w:val="00F90B58"/>
    <w:rsid w:val="00F90B80"/>
    <w:rsid w:val="00F90DBA"/>
    <w:rsid w:val="00F91150"/>
    <w:rsid w:val="00F91B91"/>
    <w:rsid w:val="00F9242B"/>
    <w:rsid w:val="00F9252D"/>
    <w:rsid w:val="00F92B6B"/>
    <w:rsid w:val="00F9314E"/>
    <w:rsid w:val="00F94006"/>
    <w:rsid w:val="00F948EF"/>
    <w:rsid w:val="00F949C3"/>
    <w:rsid w:val="00F9579C"/>
    <w:rsid w:val="00F95CA7"/>
    <w:rsid w:val="00F95E25"/>
    <w:rsid w:val="00F9668B"/>
    <w:rsid w:val="00F967C4"/>
    <w:rsid w:val="00F969C3"/>
    <w:rsid w:val="00F96A87"/>
    <w:rsid w:val="00F96CFC"/>
    <w:rsid w:val="00F97BA1"/>
    <w:rsid w:val="00F97C21"/>
    <w:rsid w:val="00F97ECA"/>
    <w:rsid w:val="00FA0023"/>
    <w:rsid w:val="00FA07E8"/>
    <w:rsid w:val="00FA088C"/>
    <w:rsid w:val="00FA0890"/>
    <w:rsid w:val="00FA094A"/>
    <w:rsid w:val="00FA0B0F"/>
    <w:rsid w:val="00FA1402"/>
    <w:rsid w:val="00FA1559"/>
    <w:rsid w:val="00FA1FEC"/>
    <w:rsid w:val="00FA20BD"/>
    <w:rsid w:val="00FA21CE"/>
    <w:rsid w:val="00FA24BD"/>
    <w:rsid w:val="00FA2ACD"/>
    <w:rsid w:val="00FA39C1"/>
    <w:rsid w:val="00FA3B58"/>
    <w:rsid w:val="00FA4372"/>
    <w:rsid w:val="00FA7133"/>
    <w:rsid w:val="00FA7137"/>
    <w:rsid w:val="00FA7726"/>
    <w:rsid w:val="00FA791B"/>
    <w:rsid w:val="00FA7C2C"/>
    <w:rsid w:val="00FB123A"/>
    <w:rsid w:val="00FB24B0"/>
    <w:rsid w:val="00FB258C"/>
    <w:rsid w:val="00FB266D"/>
    <w:rsid w:val="00FB28BD"/>
    <w:rsid w:val="00FB2B72"/>
    <w:rsid w:val="00FB2FC1"/>
    <w:rsid w:val="00FB36C3"/>
    <w:rsid w:val="00FB4738"/>
    <w:rsid w:val="00FB4B3E"/>
    <w:rsid w:val="00FB4C16"/>
    <w:rsid w:val="00FB4DE0"/>
    <w:rsid w:val="00FB4E5A"/>
    <w:rsid w:val="00FB535A"/>
    <w:rsid w:val="00FB5599"/>
    <w:rsid w:val="00FB5789"/>
    <w:rsid w:val="00FB5F9C"/>
    <w:rsid w:val="00FB6182"/>
    <w:rsid w:val="00FB6705"/>
    <w:rsid w:val="00FB6CA3"/>
    <w:rsid w:val="00FB742B"/>
    <w:rsid w:val="00FB754B"/>
    <w:rsid w:val="00FC03EC"/>
    <w:rsid w:val="00FC04AB"/>
    <w:rsid w:val="00FC1046"/>
    <w:rsid w:val="00FC1979"/>
    <w:rsid w:val="00FC2CCF"/>
    <w:rsid w:val="00FC38E2"/>
    <w:rsid w:val="00FC3C76"/>
    <w:rsid w:val="00FC3F52"/>
    <w:rsid w:val="00FC3FA6"/>
    <w:rsid w:val="00FC472D"/>
    <w:rsid w:val="00FC495B"/>
    <w:rsid w:val="00FC4A72"/>
    <w:rsid w:val="00FC5C10"/>
    <w:rsid w:val="00FC612A"/>
    <w:rsid w:val="00FC6DBF"/>
    <w:rsid w:val="00FC6DE2"/>
    <w:rsid w:val="00FC718F"/>
    <w:rsid w:val="00FC724E"/>
    <w:rsid w:val="00FC7803"/>
    <w:rsid w:val="00FC7848"/>
    <w:rsid w:val="00FC7E1E"/>
    <w:rsid w:val="00FC7E86"/>
    <w:rsid w:val="00FD01F6"/>
    <w:rsid w:val="00FD08DB"/>
    <w:rsid w:val="00FD1139"/>
    <w:rsid w:val="00FD17AD"/>
    <w:rsid w:val="00FD1B06"/>
    <w:rsid w:val="00FD27A5"/>
    <w:rsid w:val="00FD2934"/>
    <w:rsid w:val="00FD2F8E"/>
    <w:rsid w:val="00FD3B61"/>
    <w:rsid w:val="00FD43A4"/>
    <w:rsid w:val="00FD4BEE"/>
    <w:rsid w:val="00FD4FE1"/>
    <w:rsid w:val="00FD5B78"/>
    <w:rsid w:val="00FD5C3A"/>
    <w:rsid w:val="00FD5E88"/>
    <w:rsid w:val="00FD63F5"/>
    <w:rsid w:val="00FD6776"/>
    <w:rsid w:val="00FD6FEF"/>
    <w:rsid w:val="00FD7659"/>
    <w:rsid w:val="00FD77B7"/>
    <w:rsid w:val="00FD798E"/>
    <w:rsid w:val="00FD7B97"/>
    <w:rsid w:val="00FD7C02"/>
    <w:rsid w:val="00FE031A"/>
    <w:rsid w:val="00FE0920"/>
    <w:rsid w:val="00FE10A3"/>
    <w:rsid w:val="00FE1DA6"/>
    <w:rsid w:val="00FE2BDB"/>
    <w:rsid w:val="00FE2C4C"/>
    <w:rsid w:val="00FE31BF"/>
    <w:rsid w:val="00FE547C"/>
    <w:rsid w:val="00FE5542"/>
    <w:rsid w:val="00FE56A5"/>
    <w:rsid w:val="00FE5E49"/>
    <w:rsid w:val="00FE61DA"/>
    <w:rsid w:val="00FE6835"/>
    <w:rsid w:val="00FE6EDF"/>
    <w:rsid w:val="00FE6FEB"/>
    <w:rsid w:val="00FE740C"/>
    <w:rsid w:val="00FE78D2"/>
    <w:rsid w:val="00FF0C4C"/>
    <w:rsid w:val="00FF0D9E"/>
    <w:rsid w:val="00FF13F4"/>
    <w:rsid w:val="00FF2002"/>
    <w:rsid w:val="00FF202B"/>
    <w:rsid w:val="00FF2401"/>
    <w:rsid w:val="00FF251E"/>
    <w:rsid w:val="00FF2DD6"/>
    <w:rsid w:val="00FF2E05"/>
    <w:rsid w:val="00FF389C"/>
    <w:rsid w:val="00FF471C"/>
    <w:rsid w:val="00FF4859"/>
    <w:rsid w:val="00FF493D"/>
    <w:rsid w:val="00FF5133"/>
    <w:rsid w:val="00FF680D"/>
    <w:rsid w:val="00FF6FD9"/>
    <w:rsid w:val="00FF72C1"/>
    <w:rsid w:val="00FF739B"/>
    <w:rsid w:val="07C1CB65"/>
    <w:rsid w:val="08CA1D1D"/>
    <w:rsid w:val="097E2AA7"/>
    <w:rsid w:val="09FA5201"/>
    <w:rsid w:val="1027321C"/>
    <w:rsid w:val="1C83AF4B"/>
    <w:rsid w:val="1DE26FA2"/>
    <w:rsid w:val="3019FD02"/>
    <w:rsid w:val="34340F9A"/>
    <w:rsid w:val="38F3505C"/>
    <w:rsid w:val="3A574307"/>
    <w:rsid w:val="3AEDCA63"/>
    <w:rsid w:val="3EA677CC"/>
    <w:rsid w:val="456892FD"/>
    <w:rsid w:val="48FE5557"/>
    <w:rsid w:val="4927E502"/>
    <w:rsid w:val="4F5ABC20"/>
    <w:rsid w:val="4F668063"/>
    <w:rsid w:val="505BAF17"/>
    <w:rsid w:val="5191420F"/>
    <w:rsid w:val="55C8C36A"/>
    <w:rsid w:val="5A516071"/>
    <w:rsid w:val="66C3C7D8"/>
    <w:rsid w:val="69D267A6"/>
    <w:rsid w:val="70B997EB"/>
    <w:rsid w:val="72B8966A"/>
    <w:rsid w:val="75B23EF8"/>
    <w:rsid w:val="7AFBDA1D"/>
    <w:rsid w:val="7CF99347"/>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43A301"/>
  <w14:discardImageEditingData/>
  <w15:docId w15:val="{A6A7EE95-F6EE-4020-B932-33D559284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lang w:val="fr-FR" w:eastAsia="fr-FR"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9" w:unhideWhenUsed="1" w:qFormat="1"/>
    <w:lsdException w:name="heading 4" w:semiHidden="1" w:uiPriority="4" w:unhideWhenUsed="1" w:qFormat="1"/>
    <w:lsdException w:name="heading 5" w:semiHidden="1" w:uiPriority="4" w:unhideWhenUsed="1" w:qFormat="1"/>
    <w:lsdException w:name="heading 6" w:semiHidden="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9FC"/>
    <w:pPr>
      <w:spacing w:before="240" w:after="240" w:line="240" w:lineRule="auto"/>
      <w:jc w:val="both"/>
    </w:pPr>
    <w:rPr>
      <w:rFonts w:ascii="Roboto" w:hAnsi="Roboto"/>
      <w:sz w:val="21"/>
    </w:rPr>
  </w:style>
  <w:style w:type="paragraph" w:styleId="Titre1">
    <w:name w:val="heading 1"/>
    <w:basedOn w:val="Normal"/>
    <w:next w:val="Normal"/>
    <w:link w:val="Titre1Car"/>
    <w:autoRedefine/>
    <w:uiPriority w:val="4"/>
    <w:qFormat/>
    <w:rsid w:val="00F25DB7"/>
    <w:pPr>
      <w:keepNext/>
      <w:keepLines/>
      <w:numPr>
        <w:numId w:val="4"/>
      </w:numPr>
      <w:spacing w:before="720" w:line="280" w:lineRule="exact"/>
      <w:contextualSpacing/>
      <w:outlineLvl w:val="0"/>
    </w:pPr>
    <w:rPr>
      <w:rFonts w:eastAsiaTheme="majorEastAsia" w:cstheme="minorHAnsi"/>
      <w:bCs/>
      <w:caps/>
      <w:noProof/>
      <w:color w:val="24356D" w:themeColor="text2"/>
      <w:spacing w:val="-4"/>
      <w:sz w:val="24"/>
      <w:szCs w:val="24"/>
    </w:rPr>
  </w:style>
  <w:style w:type="paragraph" w:styleId="Titre2">
    <w:name w:val="heading 2"/>
    <w:basedOn w:val="Normal"/>
    <w:next w:val="Normal"/>
    <w:link w:val="Titre2Car"/>
    <w:autoRedefine/>
    <w:uiPriority w:val="4"/>
    <w:qFormat/>
    <w:rsid w:val="00B657BC"/>
    <w:pPr>
      <w:keepNext/>
      <w:keepLines/>
      <w:numPr>
        <w:ilvl w:val="1"/>
        <w:numId w:val="4"/>
      </w:numPr>
      <w:spacing w:before="480" w:after="0" w:line="276" w:lineRule="auto"/>
      <w:ind w:left="340"/>
      <w:outlineLvl w:val="1"/>
    </w:pPr>
    <w:rPr>
      <w:rFonts w:eastAsia="Times New Roman" w:cs="Segoe UI"/>
      <w:b/>
      <w:bCs/>
      <w:color w:val="24356D" w:themeColor="text2"/>
      <w:sz w:val="22"/>
      <w:szCs w:val="21"/>
    </w:rPr>
  </w:style>
  <w:style w:type="paragraph" w:styleId="Titre3">
    <w:name w:val="heading 3"/>
    <w:next w:val="Normal"/>
    <w:link w:val="Titre3Car"/>
    <w:autoRedefine/>
    <w:uiPriority w:val="9"/>
    <w:qFormat/>
    <w:rsid w:val="002C01C4"/>
    <w:pPr>
      <w:spacing w:before="360" w:after="120" w:line="240" w:lineRule="auto"/>
      <w:outlineLvl w:val="2"/>
    </w:pPr>
    <w:rPr>
      <w:rFonts w:ascii="Roboto Medium" w:eastAsiaTheme="majorEastAsia" w:hAnsi="Roboto Medium" w:cstheme="majorBidi"/>
      <w:bCs/>
      <w:color w:val="24356D"/>
      <w:sz w:val="21"/>
      <w:szCs w:val="26"/>
    </w:rPr>
  </w:style>
  <w:style w:type="paragraph" w:styleId="Titre4">
    <w:name w:val="heading 4"/>
    <w:next w:val="Normal"/>
    <w:link w:val="Titre4Car"/>
    <w:uiPriority w:val="4"/>
    <w:qFormat/>
    <w:rsid w:val="00245FCF"/>
    <w:pPr>
      <w:numPr>
        <w:ilvl w:val="3"/>
        <w:numId w:val="4"/>
      </w:numPr>
      <w:spacing w:before="480"/>
      <w:outlineLvl w:val="3"/>
    </w:pPr>
    <w:rPr>
      <w:rFonts w:ascii="Roboto" w:eastAsiaTheme="majorEastAsia" w:hAnsi="Roboto" w:cstheme="majorBidi"/>
      <w:color w:val="24356D"/>
      <w:sz w:val="21"/>
      <w:szCs w:val="26"/>
    </w:rPr>
  </w:style>
  <w:style w:type="paragraph" w:styleId="Titre5">
    <w:name w:val="heading 5"/>
    <w:basedOn w:val="Normal"/>
    <w:next w:val="Normal"/>
    <w:link w:val="Titre5Car"/>
    <w:uiPriority w:val="4"/>
    <w:qFormat/>
    <w:rsid w:val="00245FCF"/>
    <w:pPr>
      <w:numPr>
        <w:ilvl w:val="4"/>
        <w:numId w:val="4"/>
      </w:numPr>
      <w:spacing w:before="360" w:after="0"/>
      <w:outlineLvl w:val="4"/>
    </w:pPr>
    <w:rPr>
      <w:spacing w:val="-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4"/>
    <w:rsid w:val="00B657BC"/>
    <w:rPr>
      <w:rFonts w:ascii="Roboto" w:eastAsia="Times New Roman" w:hAnsi="Roboto" w:cs="Segoe UI"/>
      <w:b/>
      <w:bCs/>
      <w:color w:val="24356D" w:themeColor="text2"/>
      <w:sz w:val="22"/>
      <w:szCs w:val="21"/>
    </w:rPr>
  </w:style>
  <w:style w:type="character" w:customStyle="1" w:styleId="Titre3Car">
    <w:name w:val="Titre 3 Car"/>
    <w:basedOn w:val="Policepardfaut"/>
    <w:link w:val="Titre3"/>
    <w:uiPriority w:val="9"/>
    <w:rsid w:val="002C01C4"/>
    <w:rPr>
      <w:rFonts w:ascii="Roboto Medium" w:eastAsiaTheme="majorEastAsia" w:hAnsi="Roboto Medium" w:cstheme="majorBidi"/>
      <w:bCs/>
      <w:color w:val="24356D"/>
      <w:sz w:val="21"/>
      <w:szCs w:val="26"/>
    </w:rPr>
  </w:style>
  <w:style w:type="table" w:styleId="Listeclaire">
    <w:name w:val="Light List"/>
    <w:basedOn w:val="TableauNormal"/>
    <w:uiPriority w:val="61"/>
    <w:rsid w:val="00D03249"/>
    <w:pPr>
      <w:spacing w:line="288" w:lineRule="auto"/>
    </w:pPr>
    <w:rPr>
      <w:rFonts w:asciiTheme="minorHAnsi" w:eastAsia="Times New Roman" w:hAnsiTheme="minorHAnsi"/>
    </w:rPr>
    <w:tblPr>
      <w:tblStyleRowBandSize w:val="1"/>
      <w:tblStyleColBandSize w:val="1"/>
      <w:jc w:val="center"/>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57" w:type="dxa"/>
        <w:left w:w="57" w:type="dxa"/>
        <w:bottom w:w="57" w:type="dxa"/>
        <w:right w:w="57" w:type="dxa"/>
      </w:tblCellMar>
    </w:tblPr>
    <w:trPr>
      <w:cantSplit/>
      <w:jc w:val="center"/>
    </w:trPr>
    <w:tcPr>
      <w:vAlign w:val="center"/>
    </w:tcPr>
    <w:tblStylePr w:type="firstRow">
      <w:pPr>
        <w:spacing w:before="0" w:after="0" w:line="240" w:lineRule="auto"/>
        <w:jc w:val="center"/>
      </w:pPr>
      <w:rPr>
        <w:rFonts w:asciiTheme="majorHAnsi" w:hAnsiTheme="majorHAnsi"/>
        <w:b w:val="0"/>
        <w:bCs/>
        <w:color w:val="FFFFFF" w:themeColor="background1"/>
        <w:sz w:val="24"/>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000000" w:themeFill="text1"/>
        <w:vAlign w:val="center"/>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Pr/>
      <w:tcPr>
        <w:tcBorders>
          <w:top w:val="nil"/>
          <w:left w:val="nil"/>
          <w:bottom w:val="single" w:sz="8" w:space="0" w:color="815374" w:themeColor="accent6"/>
          <w:right w:val="nil"/>
          <w:insideH w:val="single" w:sz="8" w:space="0" w:color="815374" w:themeColor="accent6"/>
          <w:insideV w:val="nil"/>
          <w:tl2br w:val="nil"/>
          <w:tr2bl w:val="nil"/>
        </w:tcBorders>
      </w:tcPr>
    </w:tblStylePr>
    <w:tblStylePr w:type="lastCol">
      <w:rPr>
        <w:b/>
        <w:bCs/>
      </w:rPr>
      <w:tblPr/>
      <w:tcPr>
        <w:tcBorders>
          <w:top w:val="nil"/>
          <w:left w:val="nil"/>
          <w:bottom w:val="single" w:sz="8" w:space="0" w:color="815374" w:themeColor="accent6"/>
          <w:right w:val="nil"/>
          <w:insideH w:val="single" w:sz="8" w:space="0" w:color="815374" w:themeColor="accent6"/>
          <w:insideV w:val="nil"/>
          <w:tl2br w:val="nil"/>
          <w:tr2bl w:val="nil"/>
        </w:tcBorders>
      </w:tcPr>
    </w:tblStylePr>
    <w:tblStylePr w:type="band1Vert">
      <w:tblPr/>
      <w:tcPr>
        <w:tcBorders>
          <w:top w:val="nil"/>
          <w:left w:val="nil"/>
          <w:bottom w:val="single" w:sz="8" w:space="0" w:color="815374" w:themeColor="accent6"/>
          <w:right w:val="nil"/>
          <w:insideH w:val="single" w:sz="8" w:space="0" w:color="815374" w:themeColor="accent6"/>
          <w:insideV w:val="nil"/>
          <w:tl2br w:val="nil"/>
          <w:tr2bl w:val="nil"/>
        </w:tcBorders>
      </w:tcPr>
    </w:tblStylePr>
    <w:tblStylePr w:type="band2Vert">
      <w:tblPr/>
      <w:tcPr>
        <w:tcBorders>
          <w:top w:val="nil"/>
          <w:left w:val="nil"/>
          <w:bottom w:val="nil"/>
          <w:right w:val="nil"/>
          <w:insideH w:val="single" w:sz="4" w:space="0" w:color="815374" w:themeColor="accent6"/>
          <w:insideV w:val="nil"/>
          <w:tl2br w:val="nil"/>
          <w:tr2bl w:val="nil"/>
        </w:tcBorders>
      </w:tcPr>
    </w:tblStylePr>
    <w:tblStylePr w:type="band2Horz">
      <w:tblPr/>
      <w:tcPr>
        <w:shd w:val="clear" w:color="auto" w:fill="F6F5F0"/>
      </w:tcPr>
    </w:tblStylePr>
  </w:style>
  <w:style w:type="character" w:customStyle="1" w:styleId="Titre1Car">
    <w:name w:val="Titre 1 Car"/>
    <w:basedOn w:val="Policepardfaut"/>
    <w:link w:val="Titre1"/>
    <w:uiPriority w:val="4"/>
    <w:rsid w:val="00F25DB7"/>
    <w:rPr>
      <w:rFonts w:ascii="Roboto" w:eastAsiaTheme="majorEastAsia" w:hAnsi="Roboto" w:cstheme="minorHAnsi"/>
      <w:bCs/>
      <w:caps/>
      <w:noProof/>
      <w:color w:val="24356D" w:themeColor="text2"/>
      <w:spacing w:val="-4"/>
      <w:sz w:val="24"/>
      <w:szCs w:val="24"/>
    </w:rPr>
  </w:style>
  <w:style w:type="paragraph" w:customStyle="1" w:styleId="Paragraphenumrot">
    <w:name w:val="Paragraphe numéroté"/>
    <w:basedOn w:val="Normal"/>
    <w:uiPriority w:val="1"/>
    <w:qFormat/>
    <w:rsid w:val="00F04001"/>
    <w:pPr>
      <w:numPr>
        <w:numId w:val="5"/>
      </w:numPr>
      <w:ind w:left="0" w:hanging="227"/>
    </w:pPr>
  </w:style>
  <w:style w:type="paragraph" w:styleId="Titre">
    <w:name w:val="Title"/>
    <w:basedOn w:val="Corpsdetexte"/>
    <w:next w:val="Normal"/>
    <w:link w:val="TitreCar"/>
    <w:uiPriority w:val="1"/>
    <w:qFormat/>
    <w:rsid w:val="00245FCF"/>
    <w:pPr>
      <w:spacing w:before="360" w:after="120" w:line="280" w:lineRule="exact"/>
      <w:contextualSpacing/>
      <w:jc w:val="left"/>
    </w:pPr>
    <w:rPr>
      <w:rFonts w:ascii="Roboto Medium" w:hAnsi="Roboto Medium"/>
      <w:color w:val="24356D"/>
      <w:sz w:val="24"/>
    </w:rPr>
  </w:style>
  <w:style w:type="character" w:customStyle="1" w:styleId="TitreCar">
    <w:name w:val="Titre Car"/>
    <w:basedOn w:val="Policepardfaut"/>
    <w:link w:val="Titre"/>
    <w:uiPriority w:val="1"/>
    <w:rsid w:val="00245FCF"/>
    <w:rPr>
      <w:rFonts w:ascii="Roboto Medium" w:hAnsi="Roboto Medium"/>
      <w:color w:val="24356D"/>
      <w:sz w:val="24"/>
    </w:rPr>
  </w:style>
  <w:style w:type="character" w:customStyle="1" w:styleId="WW-Absatz-Standardschriftart11">
    <w:name w:val="WW-Absatz-Standardschriftart11"/>
    <w:uiPriority w:val="99"/>
    <w:semiHidden/>
    <w:locked/>
    <w:rsid w:val="00A8513C"/>
  </w:style>
  <w:style w:type="character" w:customStyle="1" w:styleId="WW8Num1z0">
    <w:name w:val="WW8Num1z0"/>
    <w:semiHidden/>
    <w:locked/>
    <w:rsid w:val="00A8513C"/>
    <w:rPr>
      <w:rFonts w:ascii="Times New Roman" w:eastAsia="Times New Roman" w:hAnsi="Times New Roman" w:cs="Times New Roman"/>
    </w:rPr>
  </w:style>
  <w:style w:type="character" w:customStyle="1" w:styleId="WW8Num1z1">
    <w:name w:val="WW8Num1z1"/>
    <w:semiHidden/>
    <w:locked/>
    <w:rsid w:val="00A8513C"/>
    <w:rPr>
      <w:rFonts w:ascii="Courier New" w:hAnsi="Courier New"/>
    </w:rPr>
  </w:style>
  <w:style w:type="character" w:customStyle="1" w:styleId="WW8Num3z1">
    <w:name w:val="WW8Num3z1"/>
    <w:uiPriority w:val="99"/>
    <w:semiHidden/>
    <w:rsid w:val="00A8513C"/>
    <w:rPr>
      <w:rFonts w:ascii="Courier New" w:hAnsi="Courier New"/>
    </w:rPr>
  </w:style>
  <w:style w:type="character" w:customStyle="1" w:styleId="WW8Num3z2">
    <w:name w:val="WW8Num3z2"/>
    <w:uiPriority w:val="99"/>
    <w:semiHidden/>
    <w:locked/>
    <w:rsid w:val="00A8513C"/>
    <w:rPr>
      <w:rFonts w:ascii="Wingdings" w:hAnsi="Wingdings"/>
    </w:rPr>
  </w:style>
  <w:style w:type="character" w:customStyle="1" w:styleId="WW8Num4z1">
    <w:name w:val="WW8Num4z1"/>
    <w:uiPriority w:val="99"/>
    <w:semiHidden/>
    <w:rsid w:val="00A8513C"/>
    <w:rPr>
      <w:rFonts w:ascii="Courier New" w:hAnsi="Courier New"/>
    </w:rPr>
  </w:style>
  <w:style w:type="character" w:customStyle="1" w:styleId="WW8Num4z2">
    <w:name w:val="WW8Num4z2"/>
    <w:uiPriority w:val="99"/>
    <w:semiHidden/>
    <w:rsid w:val="00A8513C"/>
    <w:rPr>
      <w:rFonts w:ascii="Wingdings" w:hAnsi="Wingdings"/>
    </w:rPr>
  </w:style>
  <w:style w:type="paragraph" w:customStyle="1" w:styleId="Index">
    <w:name w:val="Index"/>
    <w:basedOn w:val="Normal"/>
    <w:uiPriority w:val="99"/>
    <w:semiHidden/>
    <w:rsid w:val="00A8513C"/>
    <w:pPr>
      <w:suppressLineNumbers/>
    </w:pPr>
    <w:rPr>
      <w:rFonts w:ascii="Liberation Sans" w:hAnsi="Liberation Sans" w:cs="Tahoma"/>
    </w:rPr>
  </w:style>
  <w:style w:type="paragraph" w:customStyle="1" w:styleId="Default">
    <w:name w:val="Default"/>
    <w:rsid w:val="00A8513C"/>
    <w:pPr>
      <w:autoSpaceDE w:val="0"/>
      <w:autoSpaceDN w:val="0"/>
      <w:adjustRightInd w:val="0"/>
    </w:pPr>
    <w:rPr>
      <w:rFonts w:ascii="Calibri" w:hAnsi="Calibri" w:cs="Calibri"/>
      <w:color w:val="000000"/>
      <w:sz w:val="24"/>
      <w:szCs w:val="24"/>
    </w:rPr>
  </w:style>
  <w:style w:type="paragraph" w:customStyle="1" w:styleId="puce">
    <w:name w:val="puce"/>
    <w:basedOn w:val="Normal"/>
    <w:uiPriority w:val="11"/>
    <w:rsid w:val="00A8513C"/>
    <w:pPr>
      <w:numPr>
        <w:numId w:val="1"/>
      </w:numPr>
    </w:pPr>
  </w:style>
  <w:style w:type="character" w:customStyle="1" w:styleId="Titre4Car">
    <w:name w:val="Titre 4 Car"/>
    <w:basedOn w:val="Policepardfaut"/>
    <w:link w:val="Titre4"/>
    <w:uiPriority w:val="4"/>
    <w:rsid w:val="00245FCF"/>
    <w:rPr>
      <w:rFonts w:ascii="Roboto" w:eastAsiaTheme="majorEastAsia" w:hAnsi="Roboto" w:cstheme="majorBidi"/>
      <w:color w:val="24356D"/>
      <w:sz w:val="21"/>
      <w:szCs w:val="26"/>
    </w:rPr>
  </w:style>
  <w:style w:type="character" w:customStyle="1" w:styleId="Titre5Car">
    <w:name w:val="Titre 5 Car"/>
    <w:basedOn w:val="Policepardfaut"/>
    <w:link w:val="Titre5"/>
    <w:uiPriority w:val="4"/>
    <w:rsid w:val="002904E9"/>
    <w:rPr>
      <w:rFonts w:ascii="Roboto" w:hAnsi="Roboto"/>
      <w:spacing w:val="-4"/>
      <w:sz w:val="21"/>
    </w:rPr>
  </w:style>
  <w:style w:type="paragraph" w:styleId="En-tte">
    <w:name w:val="header"/>
    <w:basedOn w:val="Normal"/>
    <w:link w:val="En-tteCar"/>
    <w:semiHidden/>
    <w:rsid w:val="00A8513C"/>
    <w:pPr>
      <w:tabs>
        <w:tab w:val="center" w:pos="4536"/>
        <w:tab w:val="right" w:pos="9072"/>
      </w:tabs>
    </w:pPr>
  </w:style>
  <w:style w:type="character" w:customStyle="1" w:styleId="En-tteCar">
    <w:name w:val="En-tête Car"/>
    <w:basedOn w:val="Policepardfaut"/>
    <w:link w:val="En-tte"/>
    <w:semiHidden/>
    <w:rsid w:val="00A8513C"/>
  </w:style>
  <w:style w:type="paragraph" w:styleId="Pieddepage">
    <w:name w:val="footer"/>
    <w:basedOn w:val="Normal"/>
    <w:link w:val="PieddepageCar"/>
    <w:uiPriority w:val="99"/>
    <w:rsid w:val="00A8513C"/>
    <w:pPr>
      <w:tabs>
        <w:tab w:val="center" w:pos="4536"/>
        <w:tab w:val="right" w:pos="9072"/>
      </w:tabs>
    </w:pPr>
  </w:style>
  <w:style w:type="character" w:customStyle="1" w:styleId="PieddepageCar">
    <w:name w:val="Pied de page Car"/>
    <w:link w:val="Pieddepage"/>
    <w:uiPriority w:val="99"/>
    <w:rsid w:val="00A8513C"/>
  </w:style>
  <w:style w:type="paragraph" w:styleId="Lgende">
    <w:name w:val="caption"/>
    <w:basedOn w:val="Normal"/>
    <w:uiPriority w:val="35"/>
    <w:unhideWhenUsed/>
    <w:qFormat/>
    <w:rsid w:val="003A00A3"/>
    <w:pPr>
      <w:spacing w:after="200"/>
      <w:jc w:val="right"/>
    </w:pPr>
    <w:rPr>
      <w:rFonts w:cs="Tahoma"/>
      <w:bCs/>
      <w:i/>
      <w:color w:val="24356D" w:themeColor="text2"/>
      <w:sz w:val="18"/>
      <w:szCs w:val="18"/>
    </w:rPr>
  </w:style>
  <w:style w:type="paragraph" w:styleId="Liste">
    <w:name w:val="List"/>
    <w:basedOn w:val="Corpsdetexte"/>
    <w:semiHidden/>
    <w:rsid w:val="00A8513C"/>
    <w:rPr>
      <w:rFonts w:ascii="Liberation Sans" w:hAnsi="Liberation Sans" w:cs="Tahoma"/>
    </w:rPr>
  </w:style>
  <w:style w:type="paragraph" w:styleId="Corpsdetexte">
    <w:name w:val="Body Text"/>
    <w:basedOn w:val="Normal"/>
    <w:link w:val="CorpsdetexteCar"/>
    <w:semiHidden/>
    <w:rsid w:val="00A8513C"/>
    <w:pPr>
      <w:spacing w:after="280"/>
    </w:pPr>
  </w:style>
  <w:style w:type="character" w:customStyle="1" w:styleId="CorpsdetexteCar">
    <w:name w:val="Corps de texte Car"/>
    <w:basedOn w:val="Policepardfaut"/>
    <w:link w:val="Corpsdetexte"/>
    <w:semiHidden/>
    <w:rsid w:val="00A8513C"/>
  </w:style>
  <w:style w:type="paragraph" w:styleId="Sous-titre">
    <w:name w:val="Subtitle"/>
    <w:next w:val="Normal"/>
    <w:link w:val="Sous-titreCar"/>
    <w:uiPriority w:val="3"/>
    <w:qFormat/>
    <w:rsid w:val="00245FCF"/>
    <w:pPr>
      <w:spacing w:before="360" w:after="600"/>
    </w:pPr>
    <w:rPr>
      <w:rFonts w:ascii="Roboto Medium" w:eastAsiaTheme="majorEastAsia" w:hAnsi="Roboto Medium" w:cstheme="minorHAnsi"/>
      <w:bCs/>
      <w:caps/>
      <w:noProof/>
      <w:color w:val="24356D"/>
      <w:spacing w:val="-4"/>
      <w:sz w:val="24"/>
      <w:szCs w:val="24"/>
    </w:rPr>
  </w:style>
  <w:style w:type="character" w:customStyle="1" w:styleId="Sous-titreCar">
    <w:name w:val="Sous-titre Car"/>
    <w:basedOn w:val="Policepardfaut"/>
    <w:link w:val="Sous-titre"/>
    <w:uiPriority w:val="3"/>
    <w:rsid w:val="00245FCF"/>
    <w:rPr>
      <w:rFonts w:ascii="Roboto Medium" w:eastAsiaTheme="majorEastAsia" w:hAnsi="Roboto Medium" w:cstheme="minorHAnsi"/>
      <w:bCs/>
      <w:caps/>
      <w:noProof/>
      <w:color w:val="24356D"/>
      <w:spacing w:val="-4"/>
      <w:sz w:val="24"/>
      <w:szCs w:val="24"/>
    </w:rPr>
  </w:style>
  <w:style w:type="paragraph" w:styleId="Textedebulles">
    <w:name w:val="Balloon Text"/>
    <w:basedOn w:val="Normal"/>
    <w:link w:val="TextedebullesCar"/>
    <w:uiPriority w:val="99"/>
    <w:semiHidden/>
    <w:unhideWhenUsed/>
    <w:rsid w:val="00A8513C"/>
    <w:rPr>
      <w:rFonts w:ascii="Tahoma" w:hAnsi="Tahoma" w:cs="Tahoma"/>
      <w:sz w:val="16"/>
      <w:szCs w:val="16"/>
    </w:rPr>
  </w:style>
  <w:style w:type="character" w:customStyle="1" w:styleId="TextedebullesCar">
    <w:name w:val="Texte de bulles Car"/>
    <w:link w:val="Textedebulles"/>
    <w:uiPriority w:val="99"/>
    <w:semiHidden/>
    <w:rsid w:val="00A8513C"/>
    <w:rPr>
      <w:rFonts w:ascii="Tahoma" w:hAnsi="Tahoma" w:cs="Tahoma"/>
      <w:sz w:val="16"/>
      <w:szCs w:val="16"/>
    </w:rPr>
  </w:style>
  <w:style w:type="character" w:styleId="Accentuationlgre">
    <w:name w:val="Subtle Emphasis"/>
    <w:basedOn w:val="Policepardfaut"/>
    <w:uiPriority w:val="99"/>
    <w:semiHidden/>
    <w:qFormat/>
    <w:locked/>
    <w:rsid w:val="00A8513C"/>
    <w:rPr>
      <w:i/>
      <w:iCs/>
      <w:color w:val="808080" w:themeColor="text1" w:themeTint="7F"/>
    </w:rPr>
  </w:style>
  <w:style w:type="table" w:styleId="Grillemoyenne2-Accent6">
    <w:name w:val="Medium Grid 2 Accent 6"/>
    <w:basedOn w:val="TableauNormal"/>
    <w:uiPriority w:val="68"/>
    <w:rsid w:val="0094070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15374" w:themeColor="accent6"/>
        <w:left w:val="single" w:sz="8" w:space="0" w:color="815374" w:themeColor="accent6"/>
        <w:bottom w:val="single" w:sz="8" w:space="0" w:color="815374" w:themeColor="accent6"/>
        <w:right w:val="single" w:sz="8" w:space="0" w:color="815374" w:themeColor="accent6"/>
        <w:insideH w:val="single" w:sz="8" w:space="0" w:color="815374" w:themeColor="accent6"/>
        <w:insideV w:val="single" w:sz="8" w:space="0" w:color="815374" w:themeColor="accent6"/>
      </w:tblBorders>
    </w:tblPr>
    <w:tcPr>
      <w:shd w:val="clear" w:color="auto" w:fill="E2D2DD" w:themeFill="accent6" w:themeFillTint="3F"/>
      <w:vAlign w:val="center"/>
    </w:tcPr>
    <w:tblStylePr w:type="firstRow">
      <w:rPr>
        <w:b/>
        <w:bCs/>
        <w:color w:val="000000" w:themeColor="text1"/>
      </w:rPr>
      <w:tblPr/>
      <w:tcPr>
        <w:shd w:val="clear" w:color="auto" w:fill="F3EDF1"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DAE3" w:themeFill="accent6" w:themeFillTint="33"/>
      </w:tcPr>
    </w:tblStylePr>
    <w:tblStylePr w:type="band1Vert">
      <w:tblPr/>
      <w:tcPr>
        <w:shd w:val="clear" w:color="auto" w:fill="C4A4BB" w:themeFill="accent6" w:themeFillTint="7F"/>
      </w:tcPr>
    </w:tblStylePr>
    <w:tblStylePr w:type="band1Horz">
      <w:tblPr/>
      <w:tcPr>
        <w:tcBorders>
          <w:insideH w:val="single" w:sz="6" w:space="0" w:color="815374" w:themeColor="accent6"/>
          <w:insideV w:val="single" w:sz="6" w:space="0" w:color="815374" w:themeColor="accent6"/>
        </w:tcBorders>
        <w:shd w:val="clear" w:color="auto" w:fill="C4A4BB" w:themeFill="accent6" w:themeFillTint="7F"/>
      </w:tcPr>
    </w:tblStylePr>
    <w:tblStylePr w:type="nwCell">
      <w:tblPr/>
      <w:tcPr>
        <w:shd w:val="clear" w:color="auto" w:fill="FFFFFF" w:themeFill="background1"/>
      </w:tcPr>
    </w:tblStylePr>
  </w:style>
  <w:style w:type="table" w:styleId="Grilledutableau">
    <w:name w:val="Table Grid"/>
    <w:basedOn w:val="TableauNormal"/>
    <w:uiPriority w:val="39"/>
    <w:rsid w:val="00AF0D60"/>
    <w:pPr>
      <w:spacing w:before="120" w:after="120" w:line="240" w:lineRule="auto"/>
      <w:contextualSpacing/>
    </w:pPr>
    <w:rPr>
      <w:rFonts w:asciiTheme="minorHAnsi" w:eastAsiaTheme="minorEastAsia" w:hAnsiTheme="minorHAnsi" w:cstheme="minorBidi"/>
      <w:sz w:val="22"/>
      <w:szCs w:val="22"/>
    </w:rPr>
    <w:tblPr>
      <w:tblStyleRowBandSize w:val="1"/>
      <w:tblStyleColBandSize w:val="1"/>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Pr>
    <w:tcPr>
      <w:tcMar>
        <w:top w:w="113" w:type="dxa"/>
        <w:bottom w:w="113" w:type="dxa"/>
      </w:tcMar>
      <w:vAlign w:val="center"/>
    </w:tcPr>
    <w:tblStylePr w:type="firstRow">
      <w:pPr>
        <w:wordWrap/>
        <w:jc w:val="left"/>
      </w:pPr>
      <w:rPr>
        <w:b/>
        <w:color w:val="auto"/>
      </w:rPr>
      <w:tblPr/>
      <w:tcPr>
        <w:tcBorders>
          <w:top w:val="single" w:sz="4" w:space="0" w:color="C66C61" w:themeColor="accent4"/>
          <w:left w:val="single" w:sz="4" w:space="0" w:color="C66C61" w:themeColor="accent4"/>
          <w:bottom w:val="single" w:sz="4" w:space="0" w:color="C66C61" w:themeColor="accent4"/>
          <w:right w:val="single" w:sz="4" w:space="0" w:color="C66C61" w:themeColor="accent4"/>
          <w:insideH w:val="single" w:sz="4" w:space="0" w:color="FFFFFF" w:themeColor="background1"/>
          <w:insideV w:val="single" w:sz="4" w:space="0" w:color="FFFFFF" w:themeColor="background1"/>
        </w:tcBorders>
        <w:shd w:val="clear" w:color="auto" w:fill="C66C61" w:themeFill="accent4"/>
      </w:tcPr>
    </w:tblStylePr>
    <w:tblStylePr w:type="lastRow">
      <w:tblPr/>
      <w:tcPr>
        <w:tc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cBorders>
      </w:tcPr>
    </w:tblStylePr>
    <w:tblStylePr w:type="firstCol">
      <w:rPr>
        <w:b/>
        <w:color w:val="auto"/>
      </w:rPr>
      <w:tblPr/>
      <w:tcPr>
        <w:tc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cBorders>
        <w:shd w:val="clear" w:color="auto" w:fill="9CC5C4"/>
      </w:tcPr>
    </w:tblStylePr>
    <w:tblStylePr w:type="lastCol">
      <w:tblPr/>
      <w:tcPr>
        <w:tc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cBorders>
      </w:tcPr>
    </w:tblStylePr>
    <w:tblStylePr w:type="band1Vert">
      <w:tblPr/>
      <w:tcPr>
        <w:tc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l2br w:val="nil"/>
          <w:tr2bl w:val="nil"/>
        </w:tcBorders>
      </w:tcPr>
    </w:tblStylePr>
    <w:tblStylePr w:type="band2Vert">
      <w:tblPr/>
      <w:tcPr>
        <w:tc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l2br w:val="nil"/>
          <w:tr2bl w:val="nil"/>
        </w:tcBorders>
      </w:tcPr>
    </w:tblStylePr>
    <w:tblStylePr w:type="band1Horz">
      <w:tblPr/>
      <w:tcPr>
        <w:tc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l2br w:val="nil"/>
          <w:tr2bl w:val="nil"/>
        </w:tcBorders>
      </w:tcPr>
    </w:tblStylePr>
    <w:tblStylePr w:type="band2Horz">
      <w:tblPr/>
      <w:tcPr>
        <w:tc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l2br w:val="nil"/>
          <w:tr2bl w:val="nil"/>
        </w:tcBorders>
      </w:tcPr>
    </w:tblStylePr>
  </w:style>
  <w:style w:type="paragraph" w:styleId="TM3">
    <w:name w:val="toc 3"/>
    <w:basedOn w:val="Normal"/>
    <w:next w:val="Normal"/>
    <w:autoRedefine/>
    <w:uiPriority w:val="39"/>
    <w:unhideWhenUsed/>
    <w:rsid w:val="00245FCF"/>
    <w:pPr>
      <w:tabs>
        <w:tab w:val="right" w:leader="dot" w:pos="8789"/>
      </w:tabs>
      <w:spacing w:after="100"/>
      <w:ind w:left="624"/>
    </w:pPr>
    <w:rPr>
      <w:color w:val="24356D"/>
    </w:rPr>
  </w:style>
  <w:style w:type="character" w:styleId="Lienhypertexte">
    <w:name w:val="Hyperlink"/>
    <w:basedOn w:val="Policepardfaut"/>
    <w:uiPriority w:val="99"/>
    <w:unhideWhenUsed/>
    <w:rsid w:val="00EA7F75"/>
    <w:rPr>
      <w:color w:val="0563C1" w:themeColor="hyperlink"/>
      <w:u w:val="single"/>
    </w:rPr>
  </w:style>
  <w:style w:type="paragraph" w:styleId="TM1">
    <w:name w:val="toc 1"/>
    <w:basedOn w:val="Normal"/>
    <w:next w:val="Normal"/>
    <w:autoRedefine/>
    <w:uiPriority w:val="39"/>
    <w:unhideWhenUsed/>
    <w:rsid w:val="00B657BC"/>
    <w:pPr>
      <w:tabs>
        <w:tab w:val="left" w:pos="708"/>
        <w:tab w:val="right" w:leader="dot" w:pos="8789"/>
      </w:tabs>
      <w:spacing w:after="100"/>
      <w:ind w:right="281"/>
    </w:pPr>
    <w:rPr>
      <w:b/>
      <w:caps/>
      <w:color w:val="24356D"/>
    </w:rPr>
  </w:style>
  <w:style w:type="paragraph" w:styleId="TM2">
    <w:name w:val="toc 2"/>
    <w:basedOn w:val="Normal"/>
    <w:next w:val="Normal"/>
    <w:autoRedefine/>
    <w:uiPriority w:val="39"/>
    <w:unhideWhenUsed/>
    <w:rsid w:val="00F25DB7"/>
    <w:pPr>
      <w:tabs>
        <w:tab w:val="left" w:pos="1320"/>
        <w:tab w:val="right" w:leader="dot" w:pos="8789"/>
      </w:tabs>
      <w:spacing w:after="100"/>
      <w:ind w:left="227"/>
    </w:pPr>
    <w:rPr>
      <w:color w:val="24356D"/>
    </w:rPr>
  </w:style>
  <w:style w:type="numbering" w:customStyle="1" w:styleId="Style1">
    <w:name w:val="Style1"/>
    <w:uiPriority w:val="99"/>
    <w:rsid w:val="008677E1"/>
    <w:pPr>
      <w:numPr>
        <w:numId w:val="3"/>
      </w:numPr>
    </w:pPr>
  </w:style>
  <w:style w:type="paragraph" w:customStyle="1" w:styleId="Conclusion">
    <w:name w:val="Conclusion"/>
    <w:basedOn w:val="Normal"/>
    <w:uiPriority w:val="8"/>
    <w:qFormat/>
    <w:rsid w:val="00245FCF"/>
    <w:pPr>
      <w:spacing w:before="1200" w:after="360"/>
    </w:pPr>
    <w:rPr>
      <w:rFonts w:ascii="Roboto Medium" w:hAnsi="Roboto Medium"/>
      <w:color w:val="24356D"/>
      <w:sz w:val="22"/>
    </w:rPr>
  </w:style>
  <w:style w:type="paragraph" w:customStyle="1" w:styleId="Listetirets">
    <w:name w:val="Liste (tirets)"/>
    <w:basedOn w:val="Normal"/>
    <w:uiPriority w:val="7"/>
    <w:qFormat/>
    <w:rsid w:val="00C40FF1"/>
    <w:pPr>
      <w:numPr>
        <w:numId w:val="2"/>
      </w:numPr>
      <w:ind w:left="567" w:hanging="142"/>
    </w:pPr>
    <w:rPr>
      <w:spacing w:val="-4"/>
    </w:rPr>
  </w:style>
  <w:style w:type="paragraph" w:styleId="TM4">
    <w:name w:val="toc 4"/>
    <w:basedOn w:val="Normal"/>
    <w:next w:val="Normal"/>
    <w:autoRedefine/>
    <w:uiPriority w:val="39"/>
    <w:unhideWhenUsed/>
    <w:rsid w:val="00C077F9"/>
    <w:pPr>
      <w:tabs>
        <w:tab w:val="right" w:leader="dot" w:pos="8789"/>
      </w:tabs>
      <w:spacing w:after="100"/>
      <w:ind w:left="1191"/>
    </w:pPr>
    <w:rPr>
      <w:color w:val="24356D"/>
    </w:rPr>
  </w:style>
  <w:style w:type="paragraph" w:styleId="TM5">
    <w:name w:val="toc 5"/>
    <w:basedOn w:val="Normal"/>
    <w:next w:val="Normal"/>
    <w:autoRedefine/>
    <w:uiPriority w:val="39"/>
    <w:unhideWhenUsed/>
    <w:rsid w:val="005F487C"/>
    <w:pPr>
      <w:tabs>
        <w:tab w:val="right" w:leader="dot" w:pos="8789"/>
      </w:tabs>
      <w:spacing w:after="100"/>
      <w:ind w:left="1928"/>
    </w:pPr>
    <w:rPr>
      <w:color w:val="24356D"/>
    </w:rPr>
  </w:style>
  <w:style w:type="paragraph" w:customStyle="1" w:styleId="En-tete">
    <w:name w:val="En-tete"/>
    <w:basedOn w:val="Normal"/>
    <w:uiPriority w:val="2"/>
    <w:qFormat/>
    <w:rsid w:val="00245FCF"/>
    <w:pPr>
      <w:keepNext/>
      <w:keepLines/>
      <w:pBdr>
        <w:top w:val="single" w:sz="4" w:space="0" w:color="24356D"/>
        <w:bottom w:val="single" w:sz="4" w:space="1" w:color="24356D"/>
        <w:between w:val="single" w:sz="4" w:space="0" w:color="7F7F7F"/>
      </w:pBdr>
      <w:spacing w:after="160" w:line="320" w:lineRule="exact"/>
      <w:ind w:left="-1276" w:right="7201" w:firstLine="113"/>
      <w:contextualSpacing/>
      <w:jc w:val="left"/>
      <w:outlineLvl w:val="0"/>
    </w:pPr>
    <w:rPr>
      <w:rFonts w:eastAsia="Times New Roman" w:cs="Franklin Gothic Book"/>
      <w:bCs/>
      <w:noProof/>
      <w:color w:val="24356D"/>
      <w:sz w:val="18"/>
      <w:szCs w:val="24"/>
    </w:rPr>
  </w:style>
  <w:style w:type="paragraph" w:styleId="Paragraphedeliste">
    <w:name w:val="List Paragraph"/>
    <w:aliases w:val="Paragraphe EI,EC,Paragraphe de liste2,Liste couleur - Accent 11,Liste couleur - Accent 111,Paragraphe de liste11,Liste couleur - Accent 1111,Policy_Paragraph,List Paragraph1,Issue Action POC,3,Dot pt,Bullet List,FooterText"/>
    <w:basedOn w:val="Normal"/>
    <w:link w:val="ParagraphedelisteCar"/>
    <w:uiPriority w:val="34"/>
    <w:unhideWhenUsed/>
    <w:qFormat/>
    <w:rsid w:val="00E13FD5"/>
    <w:pPr>
      <w:ind w:left="720"/>
      <w:contextualSpacing/>
    </w:pPr>
  </w:style>
  <w:style w:type="paragraph" w:customStyle="1" w:styleId="Titredetableauxgraphiquesimages">
    <w:name w:val="Titre de tableaux / graphiques / images"/>
    <w:uiPriority w:val="4"/>
    <w:qFormat/>
    <w:rsid w:val="00245FCF"/>
    <w:pPr>
      <w:spacing w:before="360" w:after="120"/>
    </w:pPr>
    <w:rPr>
      <w:rFonts w:ascii="Roboto Medium" w:hAnsi="Roboto Medium"/>
      <w:color w:val="24356D" w:themeColor="text2"/>
      <w:sz w:val="21"/>
      <w:szCs w:val="21"/>
    </w:rPr>
  </w:style>
  <w:style w:type="paragraph" w:customStyle="1" w:styleId="Typededocument">
    <w:name w:val="Type de document"/>
    <w:basedOn w:val="Titre"/>
    <w:qFormat/>
    <w:rsid w:val="00245FCF"/>
    <w:pPr>
      <w:spacing w:before="480"/>
    </w:pPr>
  </w:style>
  <w:style w:type="paragraph" w:styleId="NormalWeb">
    <w:name w:val="Normal (Web)"/>
    <w:basedOn w:val="Normal"/>
    <w:uiPriority w:val="99"/>
    <w:semiHidden/>
    <w:unhideWhenUsed/>
    <w:rsid w:val="00C77EBD"/>
    <w:pPr>
      <w:spacing w:before="100" w:beforeAutospacing="1" w:after="100" w:afterAutospacing="1"/>
      <w:jc w:val="left"/>
    </w:pPr>
    <w:rPr>
      <w:rFonts w:ascii="Times New Roman" w:eastAsiaTheme="minorEastAsia" w:hAnsi="Times New Roman"/>
      <w:sz w:val="24"/>
      <w:szCs w:val="24"/>
    </w:rPr>
  </w:style>
  <w:style w:type="character" w:styleId="Accentuationintense">
    <w:name w:val="Intense Emphasis"/>
    <w:basedOn w:val="Policepardfaut"/>
    <w:uiPriority w:val="21"/>
    <w:qFormat/>
    <w:rsid w:val="00245FCF"/>
    <w:rPr>
      <w:rFonts w:ascii="Roboto Thin" w:hAnsi="Roboto Thin"/>
      <w:b/>
      <w:i/>
      <w:iCs/>
      <w:color w:val="24356D"/>
    </w:rPr>
  </w:style>
  <w:style w:type="paragraph" w:styleId="Citationintense">
    <w:name w:val="Intense Quote"/>
    <w:basedOn w:val="Normal"/>
    <w:next w:val="Normal"/>
    <w:link w:val="CitationintenseCar"/>
    <w:uiPriority w:val="30"/>
    <w:qFormat/>
    <w:rsid w:val="00245FCF"/>
    <w:pPr>
      <w:pBdr>
        <w:top w:val="single" w:sz="4" w:space="10" w:color="24356D"/>
        <w:bottom w:val="single" w:sz="4" w:space="10" w:color="24356D"/>
      </w:pBdr>
      <w:spacing w:before="360" w:after="360"/>
      <w:ind w:left="864" w:right="864"/>
      <w:jc w:val="center"/>
    </w:pPr>
    <w:rPr>
      <w:i/>
      <w:iCs/>
      <w:color w:val="24356D"/>
    </w:rPr>
  </w:style>
  <w:style w:type="character" w:customStyle="1" w:styleId="CitationintenseCar">
    <w:name w:val="Citation intense Car"/>
    <w:basedOn w:val="Policepardfaut"/>
    <w:link w:val="Citationintense"/>
    <w:uiPriority w:val="30"/>
    <w:rsid w:val="00245FCF"/>
    <w:rPr>
      <w:rFonts w:ascii="Roboto" w:hAnsi="Roboto"/>
      <w:i/>
      <w:iCs/>
      <w:color w:val="24356D"/>
      <w:sz w:val="21"/>
    </w:rPr>
  </w:style>
  <w:style w:type="paragraph" w:styleId="Notedebasdepage">
    <w:name w:val="footnote text"/>
    <w:aliases w:val="ALTS FOOTNOTE,fn,footer text,Footnotes,Footnote ak,FOOTNOTE,Note de bas de page Car5,Note de bas de page Car4 Car,Note de bas de page Car4 Car Car Car Car Car Car Car  Car,Note de bas de page Car4 Car Car,Note de bas de page Car4"/>
    <w:basedOn w:val="Normal"/>
    <w:link w:val="NotedebasdepageCar"/>
    <w:uiPriority w:val="99"/>
    <w:qFormat/>
    <w:rsid w:val="00245FCF"/>
    <w:pPr>
      <w:spacing w:before="0" w:after="0"/>
    </w:pPr>
    <w:rPr>
      <w:sz w:val="16"/>
    </w:rPr>
  </w:style>
  <w:style w:type="character" w:customStyle="1" w:styleId="NotedebasdepageCar">
    <w:name w:val="Note de bas de page Car"/>
    <w:aliases w:val="ALTS FOOTNOTE Car,fn Car,footer text Car,Footnotes Car,Footnote ak Car,FOOTNOTE Car,Note de bas de page Car5 Car,Note de bas de page Car4 Car Car1,Note de bas de page Car4 Car Car Car Car Car Car Car  Car Car"/>
    <w:basedOn w:val="Policepardfaut"/>
    <w:link w:val="Notedebasdepage"/>
    <w:uiPriority w:val="99"/>
    <w:qFormat/>
    <w:rsid w:val="00245FCF"/>
    <w:rPr>
      <w:rFonts w:ascii="Roboto" w:hAnsi="Roboto"/>
      <w:sz w:val="16"/>
    </w:rPr>
  </w:style>
  <w:style w:type="character" w:styleId="Appelnotedebasdep">
    <w:name w:val="footnote reference"/>
    <w:aliases w:val="footer number"/>
    <w:basedOn w:val="Policepardfaut"/>
    <w:uiPriority w:val="99"/>
    <w:unhideWhenUsed/>
    <w:rsid w:val="00A86E3C"/>
    <w:rPr>
      <w:vertAlign w:val="superscript"/>
    </w:rPr>
  </w:style>
  <w:style w:type="paragraph" w:customStyle="1" w:styleId="Encadr">
    <w:name w:val="Encadré"/>
    <w:uiPriority w:val="2"/>
    <w:qFormat/>
    <w:rsid w:val="00245FCF"/>
    <w:pPr>
      <w:pBdr>
        <w:top w:val="single" w:sz="18" w:space="7" w:color="E7E6E6" w:themeColor="background2"/>
        <w:bottom w:val="single" w:sz="18" w:space="7" w:color="E7E6E6" w:themeColor="background2"/>
      </w:pBdr>
      <w:spacing w:before="240" w:after="240"/>
      <w:jc w:val="both"/>
    </w:pPr>
    <w:rPr>
      <w:rFonts w:ascii="Roboto" w:eastAsia="Franklin Gothic Book" w:hAnsi="Roboto"/>
      <w:i/>
      <w:color w:val="24356D"/>
      <w:sz w:val="21"/>
    </w:rPr>
  </w:style>
  <w:style w:type="paragraph" w:customStyle="1" w:styleId="Typedudocument">
    <w:name w:val="Type du document"/>
    <w:qFormat/>
    <w:rsid w:val="00A86E3C"/>
    <w:pPr>
      <w:spacing w:before="1320"/>
    </w:pPr>
    <w:rPr>
      <w:rFonts w:ascii="Roboto" w:eastAsiaTheme="majorEastAsia" w:hAnsi="Roboto" w:cstheme="minorHAnsi"/>
      <w:b/>
      <w:bCs/>
      <w:noProof/>
      <w:color w:val="263561"/>
      <w:sz w:val="24"/>
      <w:szCs w:val="24"/>
    </w:rPr>
  </w:style>
  <w:style w:type="table" w:customStyle="1" w:styleId="Informationsdelanote">
    <w:name w:val="Informations de la note"/>
    <w:basedOn w:val="TableauNormal"/>
    <w:uiPriority w:val="99"/>
    <w:rsid w:val="00A86E3C"/>
    <w:pPr>
      <w:spacing w:line="280" w:lineRule="exact"/>
    </w:pPr>
    <w:tblPr>
      <w:tblStyleRowBandSize w:val="1"/>
      <w:tblStyleColBandSize w:val="1"/>
      <w:tblBorders>
        <w:bottom w:val="single" w:sz="4" w:space="0" w:color="E7E6E6" w:themeColor="background2"/>
      </w:tblBorders>
    </w:tblPr>
    <w:tcPr>
      <w:tcMar>
        <w:top w:w="85" w:type="dxa"/>
        <w:bottom w:w="85" w:type="dxa"/>
      </w:tcMar>
    </w:tcPr>
    <w:tblStylePr w:type="firstRow">
      <w:tblPr/>
      <w:tcPr>
        <w:tcBorders>
          <w:bottom w:val="single" w:sz="4" w:space="0" w:color="E7E6E6" w:themeColor="background2"/>
        </w:tcBorders>
      </w:tcPr>
    </w:tblStylePr>
    <w:tblStylePr w:type="firstCol">
      <w:rPr>
        <w:color w:val="000000" w:themeColor="text1"/>
        <w:sz w:val="16"/>
      </w:rPr>
    </w:tblStylePr>
    <w:tblStylePr w:type="band1Vert">
      <w:rPr>
        <w:color w:val="000000" w:themeColor="text1"/>
        <w:sz w:val="18"/>
      </w:rPr>
    </w:tblStylePr>
    <w:tblStylePr w:type="band2Vert">
      <w:rPr>
        <w:color w:val="000000" w:themeColor="text1"/>
        <w:sz w:val="18"/>
      </w:rPr>
    </w:tblStylePr>
    <w:tblStylePr w:type="band1Horz">
      <w:rPr>
        <w:color w:val="000000" w:themeColor="text1"/>
        <w:sz w:val="18"/>
      </w:rPr>
      <w:tblPr/>
      <w:tcPr>
        <w:tcBorders>
          <w:bottom w:val="single" w:sz="4" w:space="0" w:color="E7E6E6" w:themeColor="background2"/>
        </w:tcBorders>
      </w:tcPr>
    </w:tblStylePr>
    <w:tblStylePr w:type="band2Horz">
      <w:rPr>
        <w:color w:val="000000" w:themeColor="text1"/>
        <w:sz w:val="18"/>
      </w:rPr>
      <w:tblPr/>
      <w:tcPr>
        <w:tcBorders>
          <w:bottom w:val="single" w:sz="4" w:space="0" w:color="E7E6E6" w:themeColor="background2"/>
        </w:tcBorders>
      </w:tcPr>
    </w:tblStylePr>
  </w:style>
  <w:style w:type="table" w:customStyle="1" w:styleId="Exemple1">
    <w:name w:val="Exemple 1"/>
    <w:basedOn w:val="TableauNormal"/>
    <w:next w:val="Grilledutableau"/>
    <w:uiPriority w:val="59"/>
    <w:rsid w:val="00245FCF"/>
    <w:pPr>
      <w:spacing w:before="120" w:after="120" w:line="240" w:lineRule="auto"/>
    </w:pPr>
    <w:rPr>
      <w:rFonts w:ascii="Roboto" w:eastAsiaTheme="minorEastAsia" w:hAnsi="Roboto"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vAlign w:val="center"/>
    </w:tcPr>
    <w:tblStylePr w:type="firstRow">
      <w:pPr>
        <w:wordWrap/>
        <w:jc w:val="left"/>
      </w:pPr>
      <w:rPr>
        <w:rFonts w:ascii="Liberation Sans" w:hAnsi="Liberation Sans"/>
        <w:b/>
        <w:color w:val="auto"/>
      </w:rPr>
      <w:tblPr/>
      <w:tcPr>
        <w:shd w:val="clear" w:color="auto" w:fill="24356D"/>
      </w:tcPr>
    </w:tblStylePr>
    <w:tblStylePr w:type="lastRow">
      <w:rPr>
        <w:b/>
      </w:rPr>
    </w:tblStylePr>
    <w:tblStylePr w:type="firstCol">
      <w:rPr>
        <w:b/>
        <w:color w:val="auto"/>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9CC5C4"/>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tcPr>
    </w:tblStylePr>
    <w:tblStylePr w:type="band2Horz">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tcPr>
    </w:tblStylePr>
  </w:style>
  <w:style w:type="table" w:customStyle="1" w:styleId="Exemple2">
    <w:name w:val="Exemple 2"/>
    <w:basedOn w:val="TableauNormal"/>
    <w:uiPriority w:val="99"/>
    <w:rsid w:val="00245FCF"/>
    <w:pPr>
      <w:spacing w:line="240" w:lineRule="auto"/>
    </w:pPr>
    <w:rPr>
      <w:rFonts w:ascii="Roboto" w:hAnsi="Roboto"/>
    </w:rPr>
    <w:tblPr>
      <w:tblStyleRowBandSize w:val="1"/>
    </w:tblPr>
    <w:tcPr>
      <w:tcMar>
        <w:top w:w="57" w:type="dxa"/>
        <w:left w:w="57" w:type="dxa"/>
        <w:bottom w:w="57" w:type="dxa"/>
        <w:right w:w="57" w:type="dxa"/>
      </w:tcMar>
    </w:tcPr>
    <w:tblStylePr w:type="firstRow">
      <w:pPr>
        <w:wordWrap/>
        <w:spacing w:beforeLines="0" w:before="0" w:beforeAutospacing="0" w:afterLines="0" w:after="0" w:afterAutospacing="0" w:line="240" w:lineRule="auto"/>
        <w:contextualSpacing/>
        <w:jc w:val="left"/>
      </w:pPr>
      <w:rPr>
        <w:rFonts w:ascii="Liberation Sans" w:hAnsi="Liberation Sans"/>
        <w:b/>
      </w:rPr>
      <w:tblPr/>
      <w:tcPr>
        <w:shd w:val="clear" w:color="auto" w:fill="24356D"/>
      </w:tcPr>
    </w:tblStylePr>
    <w:tblStylePr w:type="band1Horz">
      <w:pPr>
        <w:wordWrap/>
        <w:spacing w:beforeLines="0" w:before="120" w:beforeAutospacing="0" w:afterLines="0" w:after="120" w:afterAutospacing="0" w:line="240" w:lineRule="auto"/>
        <w:contextualSpacing/>
      </w:pPr>
      <w:tblPr/>
      <w:tcPr>
        <w:tcMar>
          <w:top w:w="57" w:type="dxa"/>
          <w:left w:w="57" w:type="dxa"/>
          <w:bottom w:w="57" w:type="dxa"/>
          <w:right w:w="57" w:type="dxa"/>
        </w:tcMar>
      </w:tcPr>
    </w:tblStylePr>
    <w:tblStylePr w:type="band2Horz">
      <w:pPr>
        <w:wordWrap/>
        <w:spacing w:beforeLines="0" w:before="120" w:beforeAutospacing="0" w:afterLines="0" w:after="120" w:afterAutospacing="0" w:line="240" w:lineRule="auto"/>
        <w:contextualSpacing/>
      </w:pPr>
      <w:tblPr/>
      <w:tcPr>
        <w:shd w:val="clear" w:color="auto" w:fill="9CC4C4"/>
        <w:tcMar>
          <w:top w:w="57" w:type="dxa"/>
          <w:left w:w="57" w:type="dxa"/>
          <w:bottom w:w="57" w:type="dxa"/>
          <w:right w:w="57" w:type="dxa"/>
        </w:tcMar>
      </w:tcPr>
    </w:tblStylePr>
    <w:tblStylePr w:type="nwCell">
      <w:pPr>
        <w:wordWrap/>
        <w:spacing w:beforeLines="0" w:before="0" w:beforeAutospacing="0" w:afterLines="0" w:after="0" w:afterAutospacing="0" w:line="240" w:lineRule="auto"/>
        <w:contextualSpacing/>
        <w:jc w:val="left"/>
      </w:pPr>
      <w:tblPr/>
      <w:tcPr>
        <w:vAlign w:val="center"/>
      </w:tcPr>
    </w:tblStylePr>
  </w:style>
  <w:style w:type="table" w:customStyle="1" w:styleId="Exemple4">
    <w:name w:val="Exemple 4"/>
    <w:basedOn w:val="TableauNormal"/>
    <w:uiPriority w:val="99"/>
    <w:rsid w:val="00A86E3C"/>
    <w:pPr>
      <w:spacing w:line="240" w:lineRule="auto"/>
    </w:pPr>
    <w:tblPr>
      <w:tblBorders>
        <w:top w:val="single" w:sz="4" w:space="0" w:color="auto"/>
        <w:left w:val="single" w:sz="4" w:space="0" w:color="auto"/>
        <w:bottom w:val="single" w:sz="4" w:space="0" w:color="auto"/>
        <w:right w:val="single" w:sz="4" w:space="0" w:color="auto"/>
      </w:tblBorders>
    </w:tblPr>
    <w:tblStylePr w:type="firstCol">
      <w:tblPr/>
      <w:tcPr>
        <w:tcBorders>
          <w:insideH w:val="single" w:sz="4" w:space="0" w:color="FFFFFF" w:themeColor="background1"/>
        </w:tcBorders>
        <w:shd w:val="clear" w:color="auto" w:fill="9CC4C4"/>
      </w:tcPr>
    </w:tblStylePr>
  </w:style>
  <w:style w:type="table" w:customStyle="1" w:styleId="Exemple3">
    <w:name w:val="Exemple 3"/>
    <w:basedOn w:val="TableauNormal"/>
    <w:uiPriority w:val="99"/>
    <w:rsid w:val="00245FCF"/>
    <w:pPr>
      <w:spacing w:line="240" w:lineRule="auto"/>
    </w:pPr>
    <w:rPr>
      <w:rFonts w:ascii="Roboto" w:hAnsi="Roboto"/>
    </w:rPr>
    <w:tblPr>
      <w:tblStyleRowBandSize w:val="1"/>
    </w:tblPr>
    <w:tcPr>
      <w:shd w:val="clear" w:color="auto" w:fill="auto"/>
      <w:tcMar>
        <w:top w:w="113" w:type="dxa"/>
        <w:bottom w:w="113" w:type="dxa"/>
      </w:tcMar>
      <w:vAlign w:val="center"/>
    </w:tcPr>
    <w:tblStylePr w:type="firstRow">
      <w:pPr>
        <w:wordWrap/>
        <w:spacing w:beforeLines="0" w:before="0" w:beforeAutospacing="0" w:afterLines="0" w:after="0" w:afterAutospacing="0" w:line="240" w:lineRule="exact"/>
        <w:contextualSpacing/>
        <w:jc w:val="left"/>
      </w:pPr>
      <w:rPr>
        <w:rFonts w:ascii="Liberation Sans" w:hAnsi="Liberation Sans"/>
        <w:b/>
        <w:color w:val="auto"/>
        <w:sz w:val="20"/>
      </w:rPr>
      <w:tblPr/>
      <w:tcPr>
        <w:shd w:val="clear" w:color="auto" w:fill="24356D"/>
      </w:tcPr>
    </w:tblStylePr>
    <w:tblStylePr w:type="lastRow">
      <w:pPr>
        <w:wordWrap/>
        <w:spacing w:beforeLines="0" w:before="0" w:beforeAutospacing="0" w:afterLines="0" w:after="0" w:afterAutospacing="0" w:line="240" w:lineRule="auto"/>
        <w:contextualSpacing/>
        <w:jc w:val="left"/>
      </w:pPr>
      <w:rPr>
        <w:b/>
      </w:rPr>
      <w:tblPr/>
      <w:tcPr>
        <w:tcBorders>
          <w:bottom w:val="single" w:sz="4" w:space="0" w:color="E7E6E6" w:themeColor="background2"/>
        </w:tcBorders>
        <w:tcMar>
          <w:top w:w="85" w:type="dxa"/>
          <w:left w:w="113" w:type="dxa"/>
          <w:bottom w:w="85" w:type="dxa"/>
          <w:right w:w="113" w:type="dxa"/>
        </w:tcMar>
      </w:tcPr>
    </w:tblStylePr>
    <w:tblStylePr w:type="band1Horz">
      <w:pPr>
        <w:wordWrap/>
        <w:spacing w:beforeLines="0" w:before="120" w:beforeAutospacing="0" w:afterLines="0" w:after="0" w:afterAutospacing="0" w:line="240" w:lineRule="exact"/>
        <w:contextualSpacing/>
      </w:pPr>
      <w:tblPr/>
      <w:tcPr>
        <w:tcBorders>
          <w:bottom w:val="single" w:sz="4" w:space="0" w:color="E7E6E6" w:themeColor="background2"/>
        </w:tcBorders>
        <w:shd w:val="clear" w:color="auto" w:fill="auto"/>
      </w:tcPr>
    </w:tblStylePr>
    <w:tblStylePr w:type="band2Horz">
      <w:pPr>
        <w:wordWrap/>
        <w:spacing w:beforeLines="0" w:before="0" w:beforeAutospacing="0" w:afterLines="0" w:after="0" w:afterAutospacing="0" w:line="240" w:lineRule="exact"/>
        <w:contextualSpacing/>
      </w:pPr>
      <w:tblPr/>
      <w:tcPr>
        <w:tcBorders>
          <w:bottom w:val="single" w:sz="4" w:space="0" w:color="E7E6E6" w:themeColor="background2"/>
        </w:tcBorders>
        <w:shd w:val="clear" w:color="auto" w:fill="auto"/>
      </w:tcPr>
    </w:tblStylePr>
    <w:tblStylePr w:type="nwCell">
      <w:pPr>
        <w:wordWrap/>
        <w:spacing w:beforeLines="0" w:before="0" w:beforeAutospacing="0" w:afterLines="0" w:after="0" w:afterAutospacing="0" w:line="240" w:lineRule="exact"/>
        <w:contextualSpacing/>
        <w:jc w:val="left"/>
      </w:pPr>
    </w:tblStylePr>
  </w:style>
  <w:style w:type="paragraph" w:customStyle="1" w:styleId="Listeavectirets">
    <w:name w:val="Liste avec tirets"/>
    <w:basedOn w:val="Listetirets"/>
    <w:uiPriority w:val="7"/>
    <w:qFormat/>
    <w:rsid w:val="00C40FF1"/>
  </w:style>
  <w:style w:type="character" w:styleId="Accentuation">
    <w:name w:val="Emphasis"/>
    <w:basedOn w:val="Policepardfaut"/>
    <w:uiPriority w:val="20"/>
    <w:qFormat/>
    <w:rsid w:val="00245FCF"/>
    <w:rPr>
      <w:rFonts w:ascii="Roboto" w:hAnsi="Roboto"/>
      <w:i/>
      <w:iCs/>
    </w:rPr>
  </w:style>
  <w:style w:type="character" w:styleId="lev">
    <w:name w:val="Strong"/>
    <w:basedOn w:val="Policepardfaut"/>
    <w:uiPriority w:val="22"/>
    <w:qFormat/>
    <w:rsid w:val="00245FCF"/>
    <w:rPr>
      <w:rFonts w:ascii="Roboto" w:hAnsi="Roboto"/>
      <w:b/>
      <w:bCs/>
    </w:rPr>
  </w:style>
  <w:style w:type="paragraph" w:styleId="Citation">
    <w:name w:val="Quote"/>
    <w:basedOn w:val="Normal"/>
    <w:next w:val="Normal"/>
    <w:link w:val="CitationCar"/>
    <w:uiPriority w:val="29"/>
    <w:qFormat/>
    <w:rsid w:val="00245FCF"/>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245FCF"/>
    <w:rPr>
      <w:rFonts w:ascii="Roboto" w:hAnsi="Roboto"/>
      <w:i/>
      <w:iCs/>
      <w:color w:val="404040" w:themeColor="text1" w:themeTint="BF"/>
      <w:sz w:val="21"/>
    </w:rPr>
  </w:style>
  <w:style w:type="character" w:styleId="Rfrencelgre">
    <w:name w:val="Subtle Reference"/>
    <w:basedOn w:val="Policepardfaut"/>
    <w:uiPriority w:val="31"/>
    <w:qFormat/>
    <w:rsid w:val="00245FCF"/>
    <w:rPr>
      <w:rFonts w:ascii="Roboto" w:hAnsi="Roboto"/>
      <w:smallCaps/>
      <w:color w:val="5A5A5A" w:themeColor="text1" w:themeTint="A5"/>
    </w:rPr>
  </w:style>
  <w:style w:type="paragraph" w:styleId="TM6">
    <w:name w:val="toc 6"/>
    <w:basedOn w:val="Normal"/>
    <w:next w:val="Normal"/>
    <w:autoRedefine/>
    <w:uiPriority w:val="39"/>
    <w:semiHidden/>
    <w:unhideWhenUsed/>
    <w:rsid w:val="00245FCF"/>
    <w:pPr>
      <w:tabs>
        <w:tab w:val="right" w:leader="dot" w:pos="8789"/>
      </w:tabs>
      <w:spacing w:after="100"/>
      <w:ind w:left="1050"/>
    </w:pPr>
    <w:rPr>
      <w:color w:val="24356D"/>
    </w:rPr>
  </w:style>
  <w:style w:type="paragraph" w:styleId="TM7">
    <w:name w:val="toc 7"/>
    <w:basedOn w:val="Normal"/>
    <w:next w:val="Normal"/>
    <w:autoRedefine/>
    <w:uiPriority w:val="39"/>
    <w:semiHidden/>
    <w:unhideWhenUsed/>
    <w:rsid w:val="00245FCF"/>
    <w:pPr>
      <w:tabs>
        <w:tab w:val="right" w:leader="dot" w:pos="8789"/>
      </w:tabs>
      <w:spacing w:after="100"/>
      <w:ind w:left="1260"/>
    </w:pPr>
    <w:rPr>
      <w:color w:val="24356D"/>
    </w:rPr>
  </w:style>
  <w:style w:type="paragraph" w:styleId="TM8">
    <w:name w:val="toc 8"/>
    <w:basedOn w:val="Normal"/>
    <w:next w:val="Normal"/>
    <w:autoRedefine/>
    <w:uiPriority w:val="39"/>
    <w:semiHidden/>
    <w:unhideWhenUsed/>
    <w:rsid w:val="00245FCF"/>
    <w:pPr>
      <w:tabs>
        <w:tab w:val="right" w:leader="dot" w:pos="8789"/>
      </w:tabs>
      <w:spacing w:after="100"/>
      <w:ind w:left="1470"/>
    </w:pPr>
    <w:rPr>
      <w:color w:val="24356D"/>
    </w:rPr>
  </w:style>
  <w:style w:type="paragraph" w:styleId="TM9">
    <w:name w:val="toc 9"/>
    <w:basedOn w:val="Normal"/>
    <w:next w:val="Normal"/>
    <w:autoRedefine/>
    <w:uiPriority w:val="39"/>
    <w:semiHidden/>
    <w:unhideWhenUsed/>
    <w:rsid w:val="00245FCF"/>
    <w:pPr>
      <w:tabs>
        <w:tab w:val="right" w:leader="dot" w:pos="8789"/>
      </w:tabs>
      <w:spacing w:after="100"/>
      <w:ind w:left="1680"/>
    </w:pPr>
    <w:rPr>
      <w:color w:val="24356D"/>
    </w:rPr>
  </w:style>
  <w:style w:type="character" w:styleId="Marquedecommentaire">
    <w:name w:val="annotation reference"/>
    <w:basedOn w:val="Policepardfaut"/>
    <w:uiPriority w:val="99"/>
    <w:semiHidden/>
    <w:unhideWhenUsed/>
    <w:rsid w:val="001A59E2"/>
    <w:rPr>
      <w:sz w:val="16"/>
      <w:szCs w:val="16"/>
    </w:rPr>
  </w:style>
  <w:style w:type="paragraph" w:styleId="Commentaire">
    <w:name w:val="annotation text"/>
    <w:basedOn w:val="Normal"/>
    <w:link w:val="CommentaireCar"/>
    <w:uiPriority w:val="99"/>
    <w:unhideWhenUsed/>
    <w:rsid w:val="001A59E2"/>
    <w:rPr>
      <w:sz w:val="20"/>
    </w:rPr>
  </w:style>
  <w:style w:type="character" w:customStyle="1" w:styleId="CommentaireCar">
    <w:name w:val="Commentaire Car"/>
    <w:basedOn w:val="Policepardfaut"/>
    <w:link w:val="Commentaire"/>
    <w:uiPriority w:val="99"/>
    <w:rsid w:val="001A59E2"/>
    <w:rPr>
      <w:rFonts w:ascii="Roboto" w:hAnsi="Roboto"/>
    </w:rPr>
  </w:style>
  <w:style w:type="paragraph" w:styleId="Objetducommentaire">
    <w:name w:val="annotation subject"/>
    <w:basedOn w:val="Commentaire"/>
    <w:next w:val="Commentaire"/>
    <w:link w:val="ObjetducommentaireCar"/>
    <w:uiPriority w:val="99"/>
    <w:semiHidden/>
    <w:unhideWhenUsed/>
    <w:rsid w:val="001A59E2"/>
    <w:rPr>
      <w:b/>
      <w:bCs/>
    </w:rPr>
  </w:style>
  <w:style w:type="character" w:customStyle="1" w:styleId="ObjetducommentaireCar">
    <w:name w:val="Objet du commentaire Car"/>
    <w:basedOn w:val="CommentaireCar"/>
    <w:link w:val="Objetducommentaire"/>
    <w:uiPriority w:val="99"/>
    <w:semiHidden/>
    <w:rsid w:val="001A59E2"/>
    <w:rPr>
      <w:rFonts w:ascii="Roboto" w:hAnsi="Roboto"/>
      <w:b/>
      <w:bCs/>
    </w:rPr>
  </w:style>
  <w:style w:type="table" w:styleId="Tableausimple3">
    <w:name w:val="Plain Table 3"/>
    <w:basedOn w:val="TableauNormal"/>
    <w:uiPriority w:val="43"/>
    <w:rsid w:val="00F5130D"/>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ParagraphedelisteCar">
    <w:name w:val="Paragraphe de liste Car"/>
    <w:aliases w:val="Paragraphe EI Car,EC Car,Paragraphe de liste2 Car,Liste couleur - Accent 11 Car,Liste couleur - Accent 111 Car,Paragraphe de liste11 Car,Liste couleur - Accent 1111 Car,Policy_Paragraph Car,List Paragraph1 Car,3 Car,Dot pt Car"/>
    <w:basedOn w:val="Policepardfaut"/>
    <w:link w:val="Paragraphedeliste"/>
    <w:uiPriority w:val="34"/>
    <w:locked/>
    <w:rsid w:val="0065702D"/>
    <w:rPr>
      <w:rFonts w:ascii="Roboto" w:hAnsi="Roboto"/>
      <w:sz w:val="21"/>
    </w:rPr>
  </w:style>
  <w:style w:type="paragraph" w:customStyle="1" w:styleId="Tableau">
    <w:name w:val="Tableau"/>
    <w:basedOn w:val="Normal"/>
    <w:link w:val="TableauCar"/>
    <w:qFormat/>
    <w:rsid w:val="001B1482"/>
    <w:pPr>
      <w:spacing w:before="0" w:after="0"/>
    </w:pPr>
    <w:rPr>
      <w:rFonts w:eastAsiaTheme="minorEastAsia" w:cstheme="minorBidi"/>
      <w:b/>
      <w:szCs w:val="22"/>
    </w:rPr>
  </w:style>
  <w:style w:type="paragraph" w:customStyle="1" w:styleId="Tableaucontenu">
    <w:name w:val="Tableau contenu"/>
    <w:basedOn w:val="Tableau"/>
    <w:link w:val="TableaucontenuCar"/>
    <w:qFormat/>
    <w:rsid w:val="002763F0"/>
    <w:pPr>
      <w:jc w:val="center"/>
    </w:pPr>
    <w:rPr>
      <w:b w:val="0"/>
      <w:noProof/>
    </w:rPr>
  </w:style>
  <w:style w:type="character" w:styleId="Mentionnonrsolue">
    <w:name w:val="Unresolved Mention"/>
    <w:basedOn w:val="Policepardfaut"/>
    <w:uiPriority w:val="99"/>
    <w:unhideWhenUsed/>
    <w:rsid w:val="0081107C"/>
    <w:rPr>
      <w:color w:val="605E5C"/>
      <w:shd w:val="clear" w:color="auto" w:fill="E1DFDD"/>
    </w:rPr>
  </w:style>
  <w:style w:type="paragraph" w:styleId="En-ttedetabledesmatires">
    <w:name w:val="TOC Heading"/>
    <w:basedOn w:val="Titre1"/>
    <w:next w:val="Normal"/>
    <w:uiPriority w:val="39"/>
    <w:unhideWhenUsed/>
    <w:qFormat/>
    <w:rsid w:val="005F3870"/>
    <w:pPr>
      <w:numPr>
        <w:numId w:val="0"/>
      </w:numPr>
      <w:spacing w:before="240" w:after="0" w:line="240" w:lineRule="auto"/>
      <w:contextualSpacing w:val="0"/>
      <w:outlineLvl w:val="9"/>
    </w:pPr>
    <w:rPr>
      <w:rFonts w:asciiTheme="majorHAnsi" w:hAnsiTheme="majorHAnsi" w:cstheme="majorBidi"/>
      <w:bCs w:val="0"/>
      <w:caps w:val="0"/>
      <w:noProof w:val="0"/>
      <w:color w:val="506773" w:themeColor="accent1" w:themeShade="BF"/>
      <w:spacing w:val="0"/>
      <w:sz w:val="32"/>
      <w:szCs w:val="32"/>
    </w:rPr>
  </w:style>
  <w:style w:type="table" w:styleId="TableauGrille1Clair-Accentuation2">
    <w:name w:val="Grid Table 1 Light Accent 2"/>
    <w:basedOn w:val="TableauNormal"/>
    <w:uiPriority w:val="46"/>
    <w:rsid w:val="00E6168B"/>
    <w:pPr>
      <w:spacing w:line="240" w:lineRule="auto"/>
    </w:pPr>
    <w:tblPr>
      <w:tblStyleRowBandSize w:val="1"/>
      <w:tblStyleColBandSize w:val="1"/>
      <w:tblBorders>
        <w:top w:val="single" w:sz="4" w:space="0" w:color="FFD494" w:themeColor="accent2" w:themeTint="66"/>
        <w:left w:val="single" w:sz="4" w:space="0" w:color="FFD494" w:themeColor="accent2" w:themeTint="66"/>
        <w:bottom w:val="single" w:sz="4" w:space="0" w:color="FFD494" w:themeColor="accent2" w:themeTint="66"/>
        <w:right w:val="single" w:sz="4" w:space="0" w:color="FFD494" w:themeColor="accent2" w:themeTint="66"/>
        <w:insideH w:val="single" w:sz="4" w:space="0" w:color="FFD494" w:themeColor="accent2" w:themeTint="66"/>
        <w:insideV w:val="single" w:sz="4" w:space="0" w:color="FFD494" w:themeColor="accent2" w:themeTint="66"/>
      </w:tblBorders>
    </w:tblPr>
    <w:tblStylePr w:type="firstRow">
      <w:rPr>
        <w:b/>
        <w:bCs/>
      </w:rPr>
      <w:tblPr/>
      <w:tcPr>
        <w:tcBorders>
          <w:bottom w:val="single" w:sz="12" w:space="0" w:color="FFBE5E" w:themeColor="accent2" w:themeTint="99"/>
        </w:tcBorders>
      </w:tcPr>
    </w:tblStylePr>
    <w:tblStylePr w:type="lastRow">
      <w:rPr>
        <w:b/>
        <w:bCs/>
      </w:rPr>
      <w:tblPr/>
      <w:tcPr>
        <w:tcBorders>
          <w:top w:val="double" w:sz="2" w:space="0" w:color="FFBE5E" w:themeColor="accent2" w:themeTint="99"/>
        </w:tcBorders>
      </w:tcPr>
    </w:tblStylePr>
    <w:tblStylePr w:type="firstCol">
      <w:rPr>
        <w:b/>
        <w:bCs/>
      </w:rPr>
    </w:tblStylePr>
    <w:tblStylePr w:type="lastCol">
      <w:rPr>
        <w:b/>
        <w:bCs/>
      </w:rPr>
    </w:tblStylePr>
  </w:style>
  <w:style w:type="paragraph" w:styleId="Rvision">
    <w:name w:val="Revision"/>
    <w:hidden/>
    <w:uiPriority w:val="99"/>
    <w:semiHidden/>
    <w:rsid w:val="00456B8B"/>
    <w:pPr>
      <w:spacing w:line="240" w:lineRule="auto"/>
    </w:pPr>
    <w:rPr>
      <w:rFonts w:ascii="Roboto" w:hAnsi="Roboto"/>
      <w:sz w:val="21"/>
    </w:rPr>
  </w:style>
  <w:style w:type="character" w:customStyle="1" w:styleId="clearfix">
    <w:name w:val="clearfix"/>
    <w:basedOn w:val="Policepardfaut"/>
    <w:rsid w:val="007A346F"/>
  </w:style>
  <w:style w:type="character" w:customStyle="1" w:styleId="hgkelc">
    <w:name w:val="hgkelc"/>
    <w:basedOn w:val="Policepardfaut"/>
    <w:rsid w:val="007A346F"/>
  </w:style>
  <w:style w:type="character" w:customStyle="1" w:styleId="field">
    <w:name w:val="field"/>
    <w:basedOn w:val="Policepardfaut"/>
    <w:rsid w:val="007A346F"/>
  </w:style>
  <w:style w:type="paragraph" w:customStyle="1" w:styleId="paragraph">
    <w:name w:val="paragraph"/>
    <w:basedOn w:val="Normal"/>
    <w:rsid w:val="00A34BD1"/>
    <w:pPr>
      <w:spacing w:before="100" w:beforeAutospacing="1" w:after="100" w:afterAutospacing="1"/>
      <w:jc w:val="left"/>
    </w:pPr>
    <w:rPr>
      <w:rFonts w:ascii="Times New Roman" w:eastAsia="Times New Roman" w:hAnsi="Times New Roman"/>
      <w:sz w:val="24"/>
      <w:szCs w:val="24"/>
    </w:rPr>
  </w:style>
  <w:style w:type="character" w:customStyle="1" w:styleId="normaltextrun">
    <w:name w:val="normaltextrun"/>
    <w:basedOn w:val="Policepardfaut"/>
    <w:rsid w:val="00A34BD1"/>
  </w:style>
  <w:style w:type="character" w:customStyle="1" w:styleId="superscript">
    <w:name w:val="superscript"/>
    <w:basedOn w:val="Policepardfaut"/>
    <w:rsid w:val="00A34BD1"/>
  </w:style>
  <w:style w:type="character" w:customStyle="1" w:styleId="eop">
    <w:name w:val="eop"/>
    <w:basedOn w:val="Policepardfaut"/>
    <w:rsid w:val="00A34BD1"/>
  </w:style>
  <w:style w:type="character" w:styleId="Mention">
    <w:name w:val="Mention"/>
    <w:basedOn w:val="Policepardfaut"/>
    <w:uiPriority w:val="99"/>
    <w:unhideWhenUsed/>
    <w:rsid w:val="00082D5C"/>
    <w:rPr>
      <w:color w:val="2B579A"/>
      <w:shd w:val="clear" w:color="auto" w:fill="E1DFDD"/>
    </w:rPr>
  </w:style>
  <w:style w:type="table" w:customStyle="1" w:styleId="Grilledutableau1">
    <w:name w:val="Grille du tableau1"/>
    <w:basedOn w:val="TableauNormal"/>
    <w:next w:val="Grilledutableau"/>
    <w:uiPriority w:val="39"/>
    <w:rsid w:val="00C5198E"/>
    <w:pPr>
      <w:spacing w:line="240" w:lineRule="auto"/>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Policepardfaut"/>
    <w:rsid w:val="00460EB4"/>
  </w:style>
  <w:style w:type="table" w:customStyle="1" w:styleId="Exemple11">
    <w:name w:val="Exemple 11"/>
    <w:basedOn w:val="TableauNormal"/>
    <w:next w:val="Grilledutableau"/>
    <w:uiPriority w:val="59"/>
    <w:rsid w:val="00A2684C"/>
    <w:pPr>
      <w:spacing w:before="120" w:after="120" w:line="240" w:lineRule="auto"/>
      <w:contextualSpacing/>
    </w:pPr>
    <w:rPr>
      <w:rFonts w:ascii="Roboto" w:eastAsia="MS Mincho" w:hAnsi="Roboto" w:cstheme="minorBidi"/>
      <w:color w:val="000000"/>
      <w:sz w:val="22"/>
      <w:szCs w:val="22"/>
    </w:rPr>
    <w:tblPr>
      <w:tblStyleRowBandSize w:val="1"/>
      <w:tblStyleColBandSize w:val="1"/>
      <w:tblBorders>
        <w:top w:val="single" w:sz="4" w:space="0" w:color="24356D"/>
        <w:left w:val="single" w:sz="4" w:space="0" w:color="24356D"/>
        <w:bottom w:val="single" w:sz="4" w:space="0" w:color="24356D"/>
        <w:right w:val="single" w:sz="4" w:space="0" w:color="24356D"/>
        <w:insideH w:val="single" w:sz="4" w:space="0" w:color="24356D"/>
        <w:insideV w:val="single" w:sz="4" w:space="0" w:color="24356D"/>
      </w:tblBorders>
      <w:tblCellMar>
        <w:top w:w="113" w:type="dxa"/>
        <w:left w:w="85" w:type="dxa"/>
        <w:bottom w:w="113" w:type="dxa"/>
        <w:right w:w="85" w:type="dxa"/>
      </w:tblCellMar>
    </w:tblPr>
    <w:tcPr>
      <w:vAlign w:val="center"/>
    </w:tcPr>
    <w:tblStylePr w:type="firstRow">
      <w:pPr>
        <w:wordWrap/>
        <w:jc w:val="left"/>
      </w:pPr>
      <w:rPr>
        <w:rFonts w:ascii="Liberation Sans" w:hAnsi="Liberation Sans"/>
        <w:b/>
        <w:color w:val="FFFFFF"/>
        <w:sz w:val="22"/>
      </w:rPr>
      <w:tblPr/>
      <w:tcPr>
        <w:shd w:val="clear" w:color="auto" w:fill="24356D"/>
      </w:tcPr>
    </w:tblStylePr>
    <w:tblStylePr w:type="lastRow">
      <w:rPr>
        <w:rFonts w:ascii="Liberation Sans" w:hAnsi="Liberation Sans"/>
        <w:b w:val="0"/>
        <w:sz w:val="20"/>
      </w:rPr>
      <w:tblPr/>
      <w:tcPr>
        <w:tcBorders>
          <w:top w:val="nil"/>
          <w:left w:val="nil"/>
          <w:bottom w:val="nil"/>
          <w:right w:val="nil"/>
          <w:insideH w:val="nil"/>
          <w:insideV w:val="nil"/>
        </w:tcBorders>
      </w:tcPr>
    </w:tblStylePr>
    <w:tblStylePr w:type="firstCol">
      <w:rPr>
        <w:rFonts w:ascii="Liberation Sans" w:hAnsi="Liberation Sans"/>
        <w:b/>
        <w:color w:val="auto"/>
      </w:rPr>
      <w:tblPr/>
      <w:tcPr>
        <w:shd w:val="clear" w:color="auto" w:fill="9CC5C4"/>
      </w:tcPr>
    </w:tblStylePr>
    <w:tblStylePr w:type="lastCol">
      <w:rPr>
        <w:rFonts w:ascii="Liberation Sans" w:hAnsi="Liberation Sans"/>
        <w:b w:val="0"/>
        <w:i w:val="0"/>
      </w:rPr>
      <w:tblPr/>
      <w:tcPr>
        <w:tcBorders>
          <w:top w:val="single" w:sz="4" w:space="0" w:color="CBCAC8"/>
          <w:left w:val="single" w:sz="4" w:space="0" w:color="CBCAC8"/>
          <w:bottom w:val="single" w:sz="4" w:space="0" w:color="CBCAC8"/>
          <w:right w:val="single" w:sz="4" w:space="0" w:color="CBCAC8"/>
          <w:insideH w:val="single" w:sz="4" w:space="0" w:color="CBCAC8"/>
          <w:insideV w:val="single" w:sz="4" w:space="0" w:color="CBCAC8"/>
        </w:tcBorders>
      </w:tcPr>
    </w:tblStylePr>
    <w:tblStylePr w:type="band1Vert">
      <w:tblPr/>
      <w:tcPr>
        <w:tcBorders>
          <w:top w:val="single" w:sz="4" w:space="0" w:color="CBCAC8"/>
          <w:left w:val="single" w:sz="4" w:space="0" w:color="CBCAC8"/>
          <w:bottom w:val="single" w:sz="4" w:space="0" w:color="CBCAC8"/>
          <w:right w:val="single" w:sz="4" w:space="0" w:color="CBCAC8"/>
          <w:insideH w:val="single" w:sz="4" w:space="0" w:color="CBCAC8"/>
          <w:insideV w:val="single" w:sz="4" w:space="0" w:color="CBCAC8"/>
          <w:tl2br w:val="nil"/>
          <w:tr2bl w:val="nil"/>
        </w:tcBorders>
      </w:tcPr>
    </w:tblStylePr>
    <w:tblStylePr w:type="band2Vert">
      <w:tblPr/>
      <w:tcPr>
        <w:tcBorders>
          <w:top w:val="single" w:sz="4" w:space="0" w:color="CBCAC8"/>
          <w:left w:val="single" w:sz="4" w:space="0" w:color="CBCAC8"/>
          <w:bottom w:val="single" w:sz="4" w:space="0" w:color="CBCAC8"/>
          <w:right w:val="single" w:sz="4" w:space="0" w:color="CBCAC8"/>
          <w:insideH w:val="single" w:sz="4" w:space="0" w:color="CBCAC8"/>
          <w:insideV w:val="single" w:sz="4" w:space="0" w:color="CBCAC8"/>
          <w:tl2br w:val="nil"/>
          <w:tr2bl w:val="nil"/>
        </w:tcBorders>
      </w:tcPr>
    </w:tblStylePr>
    <w:tblStylePr w:type="band1Horz">
      <w:tblPr/>
      <w:tcPr>
        <w:tcBorders>
          <w:top w:val="single" w:sz="4" w:space="0" w:color="CBCAC8"/>
          <w:left w:val="nil"/>
          <w:bottom w:val="single" w:sz="4" w:space="0" w:color="CBCAC8"/>
          <w:right w:val="single" w:sz="4" w:space="0" w:color="CBCAC8"/>
          <w:insideH w:val="single" w:sz="4" w:space="0" w:color="CBCAC8"/>
          <w:insideV w:val="single" w:sz="4" w:space="0" w:color="CBCAC8"/>
          <w:tl2br w:val="nil"/>
          <w:tr2bl w:val="nil"/>
        </w:tcBorders>
      </w:tcPr>
    </w:tblStylePr>
    <w:tblStylePr w:type="band2Horz">
      <w:tblPr/>
      <w:tcPr>
        <w:tcBorders>
          <w:top w:val="single" w:sz="4" w:space="0" w:color="CBCAC8"/>
          <w:left w:val="nil"/>
          <w:bottom w:val="single" w:sz="4" w:space="0" w:color="CBCAC8"/>
          <w:right w:val="single" w:sz="4" w:space="0" w:color="CBCAC8"/>
          <w:insideH w:val="single" w:sz="4" w:space="0" w:color="CBCAC8"/>
          <w:insideV w:val="single" w:sz="4" w:space="0" w:color="CBCAC8"/>
          <w:tl2br w:val="nil"/>
          <w:tr2bl w:val="nil"/>
        </w:tcBorders>
      </w:tcPr>
    </w:tblStylePr>
    <w:tblStylePr w:type="nwCell">
      <w:pPr>
        <w:wordWrap/>
        <w:spacing w:beforeLines="0" w:before="0" w:beforeAutospacing="0" w:afterLines="0" w:after="0" w:afterAutospacing="0"/>
        <w:contextualSpacing/>
      </w:pPr>
    </w:tblStylePr>
  </w:style>
  <w:style w:type="character" w:customStyle="1" w:styleId="markedcontent">
    <w:name w:val="markedcontent"/>
    <w:basedOn w:val="Policepardfaut"/>
    <w:rsid w:val="006D405D"/>
  </w:style>
  <w:style w:type="character" w:styleId="Lienhypertextesuivivisit">
    <w:name w:val="FollowedHyperlink"/>
    <w:basedOn w:val="Policepardfaut"/>
    <w:uiPriority w:val="99"/>
    <w:semiHidden/>
    <w:unhideWhenUsed/>
    <w:rsid w:val="006D405D"/>
    <w:rPr>
      <w:color w:val="0563C1" w:themeColor="followedHyperlink"/>
      <w:u w:val="single"/>
    </w:rPr>
  </w:style>
  <w:style w:type="character" w:customStyle="1" w:styleId="highlight">
    <w:name w:val="highlight"/>
    <w:basedOn w:val="Policepardfaut"/>
    <w:rsid w:val="00C75F95"/>
  </w:style>
  <w:style w:type="table" w:customStyle="1" w:styleId="TableGrid">
    <w:name w:val="TableGrid"/>
    <w:rsid w:val="002E2759"/>
    <w:pPr>
      <w:spacing w:line="240" w:lineRule="auto"/>
    </w:pPr>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authors">
    <w:name w:val="authors"/>
    <w:basedOn w:val="Policepardfaut"/>
    <w:rsid w:val="009D0936"/>
  </w:style>
  <w:style w:type="character" w:customStyle="1" w:styleId="entry-title">
    <w:name w:val="entry-title"/>
    <w:basedOn w:val="Policepardfaut"/>
    <w:rsid w:val="009D0936"/>
  </w:style>
  <w:style w:type="character" w:customStyle="1" w:styleId="rubrique">
    <w:name w:val="rubrique"/>
    <w:basedOn w:val="Policepardfaut"/>
    <w:rsid w:val="009D0936"/>
  </w:style>
  <w:style w:type="character" w:customStyle="1" w:styleId="sep">
    <w:name w:val="sep"/>
    <w:basedOn w:val="Policepardfaut"/>
    <w:rsid w:val="009D0936"/>
  </w:style>
  <w:style w:type="table" w:styleId="Grilledetableauclaire">
    <w:name w:val="Grid Table Light"/>
    <w:basedOn w:val="TableauNormal"/>
    <w:uiPriority w:val="40"/>
    <w:rsid w:val="00A7334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aucentr">
    <w:name w:val="Tableau centré"/>
    <w:basedOn w:val="Tableaucontenu"/>
    <w:link w:val="TableaucentrCar"/>
    <w:qFormat/>
    <w:rsid w:val="00545BA2"/>
    <w:pPr>
      <w:spacing w:after="120"/>
      <w:jc w:val="left"/>
    </w:pPr>
    <w:rPr>
      <w:b/>
      <w:color w:val="24356D" w:themeColor="text2"/>
    </w:rPr>
  </w:style>
  <w:style w:type="character" w:customStyle="1" w:styleId="TableauCar">
    <w:name w:val="Tableau Car"/>
    <w:basedOn w:val="Policepardfaut"/>
    <w:link w:val="Tableau"/>
    <w:rsid w:val="00647ADA"/>
    <w:rPr>
      <w:rFonts w:ascii="Roboto" w:eastAsiaTheme="minorEastAsia" w:hAnsi="Roboto" w:cstheme="minorBidi"/>
      <w:b/>
      <w:sz w:val="21"/>
      <w:szCs w:val="22"/>
    </w:rPr>
  </w:style>
  <w:style w:type="character" w:customStyle="1" w:styleId="TableaucontenuCar">
    <w:name w:val="Tableau contenu Car"/>
    <w:basedOn w:val="TableauCar"/>
    <w:link w:val="Tableaucontenu"/>
    <w:rsid w:val="002763F0"/>
    <w:rPr>
      <w:rFonts w:ascii="Roboto" w:eastAsiaTheme="minorEastAsia" w:hAnsi="Roboto" w:cstheme="minorBidi"/>
      <w:b w:val="0"/>
      <w:noProof/>
      <w:sz w:val="21"/>
      <w:szCs w:val="22"/>
    </w:rPr>
  </w:style>
  <w:style w:type="character" w:customStyle="1" w:styleId="TableaucentrCar">
    <w:name w:val="Tableau centré Car"/>
    <w:basedOn w:val="TableaucontenuCar"/>
    <w:link w:val="Tableaucentr"/>
    <w:rsid w:val="00545BA2"/>
    <w:rPr>
      <w:rFonts w:ascii="Roboto" w:eastAsiaTheme="minorEastAsia" w:hAnsi="Roboto" w:cstheme="minorBidi"/>
      <w:b/>
      <w:noProof/>
      <w:color w:val="24356D" w:themeColor="text2"/>
      <w:sz w:val="21"/>
      <w:szCs w:val="22"/>
    </w:rPr>
  </w:style>
  <w:style w:type="paragraph" w:customStyle="1" w:styleId="Icne">
    <w:name w:val="Icône"/>
    <w:basedOn w:val="Tableaucentr"/>
    <w:qFormat/>
    <w:rsid w:val="00545BA2"/>
    <w:pPr>
      <w:jc w:val="center"/>
    </w:pPr>
  </w:style>
  <w:style w:type="paragraph" w:customStyle="1" w:styleId="Tableaulongcontenu">
    <w:name w:val="Tableau long contenu"/>
    <w:basedOn w:val="Tableaucontenu"/>
    <w:qFormat/>
    <w:rsid w:val="004D2EA9"/>
    <w:pPr>
      <w:spacing w:before="120" w:after="240"/>
      <w:jc w:val="both"/>
    </w:pPr>
  </w:style>
  <w:style w:type="paragraph" w:customStyle="1" w:styleId="Emphase">
    <w:name w:val="Emphase"/>
    <w:basedOn w:val="Tableaucentr"/>
    <w:qFormat/>
    <w:rsid w:val="00BC7BD1"/>
    <w:pPr>
      <w:spacing w:before="240" w:after="240"/>
    </w:pPr>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6584">
      <w:bodyDiv w:val="1"/>
      <w:marLeft w:val="0"/>
      <w:marRight w:val="0"/>
      <w:marTop w:val="0"/>
      <w:marBottom w:val="0"/>
      <w:divBdr>
        <w:top w:val="none" w:sz="0" w:space="0" w:color="auto"/>
        <w:left w:val="none" w:sz="0" w:space="0" w:color="auto"/>
        <w:bottom w:val="none" w:sz="0" w:space="0" w:color="auto"/>
        <w:right w:val="none" w:sz="0" w:space="0" w:color="auto"/>
      </w:divBdr>
    </w:div>
    <w:div w:id="13311281">
      <w:bodyDiv w:val="1"/>
      <w:marLeft w:val="0"/>
      <w:marRight w:val="0"/>
      <w:marTop w:val="0"/>
      <w:marBottom w:val="0"/>
      <w:divBdr>
        <w:top w:val="none" w:sz="0" w:space="0" w:color="auto"/>
        <w:left w:val="none" w:sz="0" w:space="0" w:color="auto"/>
        <w:bottom w:val="none" w:sz="0" w:space="0" w:color="auto"/>
        <w:right w:val="none" w:sz="0" w:space="0" w:color="auto"/>
      </w:divBdr>
    </w:div>
    <w:div w:id="39013530">
      <w:bodyDiv w:val="1"/>
      <w:marLeft w:val="0"/>
      <w:marRight w:val="0"/>
      <w:marTop w:val="0"/>
      <w:marBottom w:val="0"/>
      <w:divBdr>
        <w:top w:val="none" w:sz="0" w:space="0" w:color="auto"/>
        <w:left w:val="none" w:sz="0" w:space="0" w:color="auto"/>
        <w:bottom w:val="none" w:sz="0" w:space="0" w:color="auto"/>
        <w:right w:val="none" w:sz="0" w:space="0" w:color="auto"/>
      </w:divBdr>
    </w:div>
    <w:div w:id="99690665">
      <w:bodyDiv w:val="1"/>
      <w:marLeft w:val="0"/>
      <w:marRight w:val="0"/>
      <w:marTop w:val="0"/>
      <w:marBottom w:val="0"/>
      <w:divBdr>
        <w:top w:val="none" w:sz="0" w:space="0" w:color="auto"/>
        <w:left w:val="none" w:sz="0" w:space="0" w:color="auto"/>
        <w:bottom w:val="none" w:sz="0" w:space="0" w:color="auto"/>
        <w:right w:val="none" w:sz="0" w:space="0" w:color="auto"/>
      </w:divBdr>
    </w:div>
    <w:div w:id="113133246">
      <w:bodyDiv w:val="1"/>
      <w:marLeft w:val="0"/>
      <w:marRight w:val="0"/>
      <w:marTop w:val="0"/>
      <w:marBottom w:val="0"/>
      <w:divBdr>
        <w:top w:val="none" w:sz="0" w:space="0" w:color="auto"/>
        <w:left w:val="none" w:sz="0" w:space="0" w:color="auto"/>
        <w:bottom w:val="none" w:sz="0" w:space="0" w:color="auto"/>
        <w:right w:val="none" w:sz="0" w:space="0" w:color="auto"/>
      </w:divBdr>
    </w:div>
    <w:div w:id="186065323">
      <w:bodyDiv w:val="1"/>
      <w:marLeft w:val="0"/>
      <w:marRight w:val="0"/>
      <w:marTop w:val="0"/>
      <w:marBottom w:val="0"/>
      <w:divBdr>
        <w:top w:val="none" w:sz="0" w:space="0" w:color="auto"/>
        <w:left w:val="none" w:sz="0" w:space="0" w:color="auto"/>
        <w:bottom w:val="none" w:sz="0" w:space="0" w:color="auto"/>
        <w:right w:val="none" w:sz="0" w:space="0" w:color="auto"/>
      </w:divBdr>
    </w:div>
    <w:div w:id="186724868">
      <w:bodyDiv w:val="1"/>
      <w:marLeft w:val="0"/>
      <w:marRight w:val="0"/>
      <w:marTop w:val="0"/>
      <w:marBottom w:val="0"/>
      <w:divBdr>
        <w:top w:val="none" w:sz="0" w:space="0" w:color="auto"/>
        <w:left w:val="none" w:sz="0" w:space="0" w:color="auto"/>
        <w:bottom w:val="none" w:sz="0" w:space="0" w:color="auto"/>
        <w:right w:val="none" w:sz="0" w:space="0" w:color="auto"/>
      </w:divBdr>
    </w:div>
    <w:div w:id="194007488">
      <w:bodyDiv w:val="1"/>
      <w:marLeft w:val="0"/>
      <w:marRight w:val="0"/>
      <w:marTop w:val="0"/>
      <w:marBottom w:val="0"/>
      <w:divBdr>
        <w:top w:val="none" w:sz="0" w:space="0" w:color="auto"/>
        <w:left w:val="none" w:sz="0" w:space="0" w:color="auto"/>
        <w:bottom w:val="none" w:sz="0" w:space="0" w:color="auto"/>
        <w:right w:val="none" w:sz="0" w:space="0" w:color="auto"/>
      </w:divBdr>
    </w:div>
    <w:div w:id="228536948">
      <w:bodyDiv w:val="1"/>
      <w:marLeft w:val="0"/>
      <w:marRight w:val="0"/>
      <w:marTop w:val="0"/>
      <w:marBottom w:val="0"/>
      <w:divBdr>
        <w:top w:val="none" w:sz="0" w:space="0" w:color="auto"/>
        <w:left w:val="none" w:sz="0" w:space="0" w:color="auto"/>
        <w:bottom w:val="none" w:sz="0" w:space="0" w:color="auto"/>
        <w:right w:val="none" w:sz="0" w:space="0" w:color="auto"/>
      </w:divBdr>
    </w:div>
    <w:div w:id="256671314">
      <w:bodyDiv w:val="1"/>
      <w:marLeft w:val="0"/>
      <w:marRight w:val="0"/>
      <w:marTop w:val="0"/>
      <w:marBottom w:val="0"/>
      <w:divBdr>
        <w:top w:val="none" w:sz="0" w:space="0" w:color="auto"/>
        <w:left w:val="none" w:sz="0" w:space="0" w:color="auto"/>
        <w:bottom w:val="none" w:sz="0" w:space="0" w:color="auto"/>
        <w:right w:val="none" w:sz="0" w:space="0" w:color="auto"/>
      </w:divBdr>
    </w:div>
    <w:div w:id="309333970">
      <w:bodyDiv w:val="1"/>
      <w:marLeft w:val="0"/>
      <w:marRight w:val="0"/>
      <w:marTop w:val="0"/>
      <w:marBottom w:val="0"/>
      <w:divBdr>
        <w:top w:val="none" w:sz="0" w:space="0" w:color="auto"/>
        <w:left w:val="none" w:sz="0" w:space="0" w:color="auto"/>
        <w:bottom w:val="none" w:sz="0" w:space="0" w:color="auto"/>
        <w:right w:val="none" w:sz="0" w:space="0" w:color="auto"/>
      </w:divBdr>
    </w:div>
    <w:div w:id="316810023">
      <w:bodyDiv w:val="1"/>
      <w:marLeft w:val="0"/>
      <w:marRight w:val="0"/>
      <w:marTop w:val="0"/>
      <w:marBottom w:val="0"/>
      <w:divBdr>
        <w:top w:val="none" w:sz="0" w:space="0" w:color="auto"/>
        <w:left w:val="none" w:sz="0" w:space="0" w:color="auto"/>
        <w:bottom w:val="none" w:sz="0" w:space="0" w:color="auto"/>
        <w:right w:val="none" w:sz="0" w:space="0" w:color="auto"/>
      </w:divBdr>
    </w:div>
    <w:div w:id="317391189">
      <w:bodyDiv w:val="1"/>
      <w:marLeft w:val="0"/>
      <w:marRight w:val="0"/>
      <w:marTop w:val="0"/>
      <w:marBottom w:val="0"/>
      <w:divBdr>
        <w:top w:val="none" w:sz="0" w:space="0" w:color="auto"/>
        <w:left w:val="none" w:sz="0" w:space="0" w:color="auto"/>
        <w:bottom w:val="none" w:sz="0" w:space="0" w:color="auto"/>
        <w:right w:val="none" w:sz="0" w:space="0" w:color="auto"/>
      </w:divBdr>
    </w:div>
    <w:div w:id="340088596">
      <w:bodyDiv w:val="1"/>
      <w:marLeft w:val="0"/>
      <w:marRight w:val="0"/>
      <w:marTop w:val="0"/>
      <w:marBottom w:val="0"/>
      <w:divBdr>
        <w:top w:val="none" w:sz="0" w:space="0" w:color="auto"/>
        <w:left w:val="none" w:sz="0" w:space="0" w:color="auto"/>
        <w:bottom w:val="none" w:sz="0" w:space="0" w:color="auto"/>
        <w:right w:val="none" w:sz="0" w:space="0" w:color="auto"/>
      </w:divBdr>
    </w:div>
    <w:div w:id="354961710">
      <w:bodyDiv w:val="1"/>
      <w:marLeft w:val="0"/>
      <w:marRight w:val="0"/>
      <w:marTop w:val="0"/>
      <w:marBottom w:val="0"/>
      <w:divBdr>
        <w:top w:val="none" w:sz="0" w:space="0" w:color="auto"/>
        <w:left w:val="none" w:sz="0" w:space="0" w:color="auto"/>
        <w:bottom w:val="none" w:sz="0" w:space="0" w:color="auto"/>
        <w:right w:val="none" w:sz="0" w:space="0" w:color="auto"/>
      </w:divBdr>
    </w:div>
    <w:div w:id="361637381">
      <w:bodyDiv w:val="1"/>
      <w:marLeft w:val="0"/>
      <w:marRight w:val="0"/>
      <w:marTop w:val="0"/>
      <w:marBottom w:val="0"/>
      <w:divBdr>
        <w:top w:val="none" w:sz="0" w:space="0" w:color="auto"/>
        <w:left w:val="none" w:sz="0" w:space="0" w:color="auto"/>
        <w:bottom w:val="none" w:sz="0" w:space="0" w:color="auto"/>
        <w:right w:val="none" w:sz="0" w:space="0" w:color="auto"/>
      </w:divBdr>
    </w:div>
    <w:div w:id="370619975">
      <w:bodyDiv w:val="1"/>
      <w:marLeft w:val="0"/>
      <w:marRight w:val="0"/>
      <w:marTop w:val="0"/>
      <w:marBottom w:val="0"/>
      <w:divBdr>
        <w:top w:val="none" w:sz="0" w:space="0" w:color="auto"/>
        <w:left w:val="none" w:sz="0" w:space="0" w:color="auto"/>
        <w:bottom w:val="none" w:sz="0" w:space="0" w:color="auto"/>
        <w:right w:val="none" w:sz="0" w:space="0" w:color="auto"/>
      </w:divBdr>
    </w:div>
    <w:div w:id="393699918">
      <w:bodyDiv w:val="1"/>
      <w:marLeft w:val="0"/>
      <w:marRight w:val="0"/>
      <w:marTop w:val="0"/>
      <w:marBottom w:val="0"/>
      <w:divBdr>
        <w:top w:val="none" w:sz="0" w:space="0" w:color="auto"/>
        <w:left w:val="none" w:sz="0" w:space="0" w:color="auto"/>
        <w:bottom w:val="none" w:sz="0" w:space="0" w:color="auto"/>
        <w:right w:val="none" w:sz="0" w:space="0" w:color="auto"/>
      </w:divBdr>
    </w:div>
    <w:div w:id="406273164">
      <w:bodyDiv w:val="1"/>
      <w:marLeft w:val="0"/>
      <w:marRight w:val="0"/>
      <w:marTop w:val="0"/>
      <w:marBottom w:val="0"/>
      <w:divBdr>
        <w:top w:val="none" w:sz="0" w:space="0" w:color="auto"/>
        <w:left w:val="none" w:sz="0" w:space="0" w:color="auto"/>
        <w:bottom w:val="none" w:sz="0" w:space="0" w:color="auto"/>
        <w:right w:val="none" w:sz="0" w:space="0" w:color="auto"/>
      </w:divBdr>
    </w:div>
    <w:div w:id="421147999">
      <w:bodyDiv w:val="1"/>
      <w:marLeft w:val="0"/>
      <w:marRight w:val="0"/>
      <w:marTop w:val="0"/>
      <w:marBottom w:val="0"/>
      <w:divBdr>
        <w:top w:val="none" w:sz="0" w:space="0" w:color="auto"/>
        <w:left w:val="none" w:sz="0" w:space="0" w:color="auto"/>
        <w:bottom w:val="none" w:sz="0" w:space="0" w:color="auto"/>
        <w:right w:val="none" w:sz="0" w:space="0" w:color="auto"/>
      </w:divBdr>
    </w:div>
    <w:div w:id="425418810">
      <w:bodyDiv w:val="1"/>
      <w:marLeft w:val="0"/>
      <w:marRight w:val="0"/>
      <w:marTop w:val="0"/>
      <w:marBottom w:val="0"/>
      <w:divBdr>
        <w:top w:val="none" w:sz="0" w:space="0" w:color="auto"/>
        <w:left w:val="none" w:sz="0" w:space="0" w:color="auto"/>
        <w:bottom w:val="none" w:sz="0" w:space="0" w:color="auto"/>
        <w:right w:val="none" w:sz="0" w:space="0" w:color="auto"/>
      </w:divBdr>
    </w:div>
    <w:div w:id="452134240">
      <w:bodyDiv w:val="1"/>
      <w:marLeft w:val="0"/>
      <w:marRight w:val="0"/>
      <w:marTop w:val="0"/>
      <w:marBottom w:val="0"/>
      <w:divBdr>
        <w:top w:val="none" w:sz="0" w:space="0" w:color="auto"/>
        <w:left w:val="none" w:sz="0" w:space="0" w:color="auto"/>
        <w:bottom w:val="none" w:sz="0" w:space="0" w:color="auto"/>
        <w:right w:val="none" w:sz="0" w:space="0" w:color="auto"/>
      </w:divBdr>
      <w:divsChild>
        <w:div w:id="1252590633">
          <w:marLeft w:val="0"/>
          <w:marRight w:val="0"/>
          <w:marTop w:val="0"/>
          <w:marBottom w:val="0"/>
          <w:divBdr>
            <w:top w:val="none" w:sz="0" w:space="0" w:color="auto"/>
            <w:left w:val="none" w:sz="0" w:space="0" w:color="auto"/>
            <w:bottom w:val="none" w:sz="0" w:space="0" w:color="auto"/>
            <w:right w:val="none" w:sz="0" w:space="0" w:color="auto"/>
          </w:divBdr>
        </w:div>
      </w:divsChild>
    </w:div>
    <w:div w:id="452556648">
      <w:bodyDiv w:val="1"/>
      <w:marLeft w:val="0"/>
      <w:marRight w:val="0"/>
      <w:marTop w:val="0"/>
      <w:marBottom w:val="0"/>
      <w:divBdr>
        <w:top w:val="none" w:sz="0" w:space="0" w:color="auto"/>
        <w:left w:val="none" w:sz="0" w:space="0" w:color="auto"/>
        <w:bottom w:val="none" w:sz="0" w:space="0" w:color="auto"/>
        <w:right w:val="none" w:sz="0" w:space="0" w:color="auto"/>
      </w:divBdr>
    </w:div>
    <w:div w:id="527335191">
      <w:bodyDiv w:val="1"/>
      <w:marLeft w:val="0"/>
      <w:marRight w:val="0"/>
      <w:marTop w:val="0"/>
      <w:marBottom w:val="0"/>
      <w:divBdr>
        <w:top w:val="none" w:sz="0" w:space="0" w:color="auto"/>
        <w:left w:val="none" w:sz="0" w:space="0" w:color="auto"/>
        <w:bottom w:val="none" w:sz="0" w:space="0" w:color="auto"/>
        <w:right w:val="none" w:sz="0" w:space="0" w:color="auto"/>
      </w:divBdr>
    </w:div>
    <w:div w:id="533229037">
      <w:bodyDiv w:val="1"/>
      <w:marLeft w:val="0"/>
      <w:marRight w:val="0"/>
      <w:marTop w:val="0"/>
      <w:marBottom w:val="0"/>
      <w:divBdr>
        <w:top w:val="none" w:sz="0" w:space="0" w:color="auto"/>
        <w:left w:val="none" w:sz="0" w:space="0" w:color="auto"/>
        <w:bottom w:val="none" w:sz="0" w:space="0" w:color="auto"/>
        <w:right w:val="none" w:sz="0" w:space="0" w:color="auto"/>
      </w:divBdr>
    </w:div>
    <w:div w:id="562646257">
      <w:bodyDiv w:val="1"/>
      <w:marLeft w:val="0"/>
      <w:marRight w:val="0"/>
      <w:marTop w:val="0"/>
      <w:marBottom w:val="0"/>
      <w:divBdr>
        <w:top w:val="none" w:sz="0" w:space="0" w:color="auto"/>
        <w:left w:val="none" w:sz="0" w:space="0" w:color="auto"/>
        <w:bottom w:val="none" w:sz="0" w:space="0" w:color="auto"/>
        <w:right w:val="none" w:sz="0" w:space="0" w:color="auto"/>
      </w:divBdr>
    </w:div>
    <w:div w:id="574903238">
      <w:bodyDiv w:val="1"/>
      <w:marLeft w:val="0"/>
      <w:marRight w:val="0"/>
      <w:marTop w:val="0"/>
      <w:marBottom w:val="0"/>
      <w:divBdr>
        <w:top w:val="none" w:sz="0" w:space="0" w:color="auto"/>
        <w:left w:val="none" w:sz="0" w:space="0" w:color="auto"/>
        <w:bottom w:val="none" w:sz="0" w:space="0" w:color="auto"/>
        <w:right w:val="none" w:sz="0" w:space="0" w:color="auto"/>
      </w:divBdr>
    </w:div>
    <w:div w:id="599261952">
      <w:bodyDiv w:val="1"/>
      <w:marLeft w:val="0"/>
      <w:marRight w:val="0"/>
      <w:marTop w:val="0"/>
      <w:marBottom w:val="0"/>
      <w:divBdr>
        <w:top w:val="none" w:sz="0" w:space="0" w:color="auto"/>
        <w:left w:val="none" w:sz="0" w:space="0" w:color="auto"/>
        <w:bottom w:val="none" w:sz="0" w:space="0" w:color="auto"/>
        <w:right w:val="none" w:sz="0" w:space="0" w:color="auto"/>
      </w:divBdr>
    </w:div>
    <w:div w:id="607736136">
      <w:bodyDiv w:val="1"/>
      <w:marLeft w:val="0"/>
      <w:marRight w:val="0"/>
      <w:marTop w:val="0"/>
      <w:marBottom w:val="0"/>
      <w:divBdr>
        <w:top w:val="none" w:sz="0" w:space="0" w:color="auto"/>
        <w:left w:val="none" w:sz="0" w:space="0" w:color="auto"/>
        <w:bottom w:val="none" w:sz="0" w:space="0" w:color="auto"/>
        <w:right w:val="none" w:sz="0" w:space="0" w:color="auto"/>
      </w:divBdr>
    </w:div>
    <w:div w:id="616983873">
      <w:bodyDiv w:val="1"/>
      <w:marLeft w:val="0"/>
      <w:marRight w:val="0"/>
      <w:marTop w:val="0"/>
      <w:marBottom w:val="0"/>
      <w:divBdr>
        <w:top w:val="none" w:sz="0" w:space="0" w:color="auto"/>
        <w:left w:val="none" w:sz="0" w:space="0" w:color="auto"/>
        <w:bottom w:val="none" w:sz="0" w:space="0" w:color="auto"/>
        <w:right w:val="none" w:sz="0" w:space="0" w:color="auto"/>
      </w:divBdr>
    </w:div>
    <w:div w:id="634990663">
      <w:bodyDiv w:val="1"/>
      <w:marLeft w:val="0"/>
      <w:marRight w:val="0"/>
      <w:marTop w:val="0"/>
      <w:marBottom w:val="0"/>
      <w:divBdr>
        <w:top w:val="none" w:sz="0" w:space="0" w:color="auto"/>
        <w:left w:val="none" w:sz="0" w:space="0" w:color="auto"/>
        <w:bottom w:val="none" w:sz="0" w:space="0" w:color="auto"/>
        <w:right w:val="none" w:sz="0" w:space="0" w:color="auto"/>
      </w:divBdr>
      <w:divsChild>
        <w:div w:id="282620446">
          <w:marLeft w:val="0"/>
          <w:marRight w:val="0"/>
          <w:marTop w:val="0"/>
          <w:marBottom w:val="0"/>
          <w:divBdr>
            <w:top w:val="none" w:sz="0" w:space="0" w:color="auto"/>
            <w:left w:val="none" w:sz="0" w:space="0" w:color="auto"/>
            <w:bottom w:val="none" w:sz="0" w:space="0" w:color="auto"/>
            <w:right w:val="none" w:sz="0" w:space="0" w:color="auto"/>
          </w:divBdr>
        </w:div>
      </w:divsChild>
    </w:div>
    <w:div w:id="640232148">
      <w:bodyDiv w:val="1"/>
      <w:marLeft w:val="0"/>
      <w:marRight w:val="0"/>
      <w:marTop w:val="0"/>
      <w:marBottom w:val="0"/>
      <w:divBdr>
        <w:top w:val="none" w:sz="0" w:space="0" w:color="auto"/>
        <w:left w:val="none" w:sz="0" w:space="0" w:color="auto"/>
        <w:bottom w:val="none" w:sz="0" w:space="0" w:color="auto"/>
        <w:right w:val="none" w:sz="0" w:space="0" w:color="auto"/>
      </w:divBdr>
    </w:div>
    <w:div w:id="678585950">
      <w:bodyDiv w:val="1"/>
      <w:marLeft w:val="0"/>
      <w:marRight w:val="0"/>
      <w:marTop w:val="0"/>
      <w:marBottom w:val="0"/>
      <w:divBdr>
        <w:top w:val="none" w:sz="0" w:space="0" w:color="auto"/>
        <w:left w:val="none" w:sz="0" w:space="0" w:color="auto"/>
        <w:bottom w:val="none" w:sz="0" w:space="0" w:color="auto"/>
        <w:right w:val="none" w:sz="0" w:space="0" w:color="auto"/>
      </w:divBdr>
    </w:div>
    <w:div w:id="690838926">
      <w:bodyDiv w:val="1"/>
      <w:marLeft w:val="0"/>
      <w:marRight w:val="0"/>
      <w:marTop w:val="0"/>
      <w:marBottom w:val="0"/>
      <w:divBdr>
        <w:top w:val="none" w:sz="0" w:space="0" w:color="auto"/>
        <w:left w:val="none" w:sz="0" w:space="0" w:color="auto"/>
        <w:bottom w:val="none" w:sz="0" w:space="0" w:color="auto"/>
        <w:right w:val="none" w:sz="0" w:space="0" w:color="auto"/>
      </w:divBdr>
    </w:div>
    <w:div w:id="702441622">
      <w:bodyDiv w:val="1"/>
      <w:marLeft w:val="0"/>
      <w:marRight w:val="0"/>
      <w:marTop w:val="0"/>
      <w:marBottom w:val="0"/>
      <w:divBdr>
        <w:top w:val="none" w:sz="0" w:space="0" w:color="auto"/>
        <w:left w:val="none" w:sz="0" w:space="0" w:color="auto"/>
        <w:bottom w:val="none" w:sz="0" w:space="0" w:color="auto"/>
        <w:right w:val="none" w:sz="0" w:space="0" w:color="auto"/>
      </w:divBdr>
      <w:divsChild>
        <w:div w:id="265230685">
          <w:marLeft w:val="216"/>
          <w:marRight w:val="0"/>
          <w:marTop w:val="62"/>
          <w:marBottom w:val="0"/>
          <w:divBdr>
            <w:top w:val="none" w:sz="0" w:space="0" w:color="auto"/>
            <w:left w:val="none" w:sz="0" w:space="0" w:color="auto"/>
            <w:bottom w:val="none" w:sz="0" w:space="0" w:color="auto"/>
            <w:right w:val="none" w:sz="0" w:space="0" w:color="auto"/>
          </w:divBdr>
        </w:div>
        <w:div w:id="655648223">
          <w:marLeft w:val="216"/>
          <w:marRight w:val="0"/>
          <w:marTop w:val="62"/>
          <w:marBottom w:val="0"/>
          <w:divBdr>
            <w:top w:val="none" w:sz="0" w:space="0" w:color="auto"/>
            <w:left w:val="none" w:sz="0" w:space="0" w:color="auto"/>
            <w:bottom w:val="none" w:sz="0" w:space="0" w:color="auto"/>
            <w:right w:val="none" w:sz="0" w:space="0" w:color="auto"/>
          </w:divBdr>
        </w:div>
        <w:div w:id="1219323704">
          <w:marLeft w:val="216"/>
          <w:marRight w:val="0"/>
          <w:marTop w:val="62"/>
          <w:marBottom w:val="0"/>
          <w:divBdr>
            <w:top w:val="none" w:sz="0" w:space="0" w:color="auto"/>
            <w:left w:val="none" w:sz="0" w:space="0" w:color="auto"/>
            <w:bottom w:val="none" w:sz="0" w:space="0" w:color="auto"/>
            <w:right w:val="none" w:sz="0" w:space="0" w:color="auto"/>
          </w:divBdr>
        </w:div>
        <w:div w:id="1294557306">
          <w:marLeft w:val="216"/>
          <w:marRight w:val="0"/>
          <w:marTop w:val="62"/>
          <w:marBottom w:val="0"/>
          <w:divBdr>
            <w:top w:val="none" w:sz="0" w:space="0" w:color="auto"/>
            <w:left w:val="none" w:sz="0" w:space="0" w:color="auto"/>
            <w:bottom w:val="none" w:sz="0" w:space="0" w:color="auto"/>
            <w:right w:val="none" w:sz="0" w:space="0" w:color="auto"/>
          </w:divBdr>
        </w:div>
        <w:div w:id="1351644755">
          <w:marLeft w:val="216"/>
          <w:marRight w:val="0"/>
          <w:marTop w:val="62"/>
          <w:marBottom w:val="0"/>
          <w:divBdr>
            <w:top w:val="none" w:sz="0" w:space="0" w:color="auto"/>
            <w:left w:val="none" w:sz="0" w:space="0" w:color="auto"/>
            <w:bottom w:val="none" w:sz="0" w:space="0" w:color="auto"/>
            <w:right w:val="none" w:sz="0" w:space="0" w:color="auto"/>
          </w:divBdr>
        </w:div>
        <w:div w:id="1851986591">
          <w:marLeft w:val="216"/>
          <w:marRight w:val="0"/>
          <w:marTop w:val="62"/>
          <w:marBottom w:val="0"/>
          <w:divBdr>
            <w:top w:val="none" w:sz="0" w:space="0" w:color="auto"/>
            <w:left w:val="none" w:sz="0" w:space="0" w:color="auto"/>
            <w:bottom w:val="none" w:sz="0" w:space="0" w:color="auto"/>
            <w:right w:val="none" w:sz="0" w:space="0" w:color="auto"/>
          </w:divBdr>
        </w:div>
        <w:div w:id="2063214843">
          <w:marLeft w:val="216"/>
          <w:marRight w:val="0"/>
          <w:marTop w:val="62"/>
          <w:marBottom w:val="0"/>
          <w:divBdr>
            <w:top w:val="none" w:sz="0" w:space="0" w:color="auto"/>
            <w:left w:val="none" w:sz="0" w:space="0" w:color="auto"/>
            <w:bottom w:val="none" w:sz="0" w:space="0" w:color="auto"/>
            <w:right w:val="none" w:sz="0" w:space="0" w:color="auto"/>
          </w:divBdr>
        </w:div>
      </w:divsChild>
    </w:div>
    <w:div w:id="713389468">
      <w:bodyDiv w:val="1"/>
      <w:marLeft w:val="0"/>
      <w:marRight w:val="0"/>
      <w:marTop w:val="0"/>
      <w:marBottom w:val="0"/>
      <w:divBdr>
        <w:top w:val="none" w:sz="0" w:space="0" w:color="auto"/>
        <w:left w:val="none" w:sz="0" w:space="0" w:color="auto"/>
        <w:bottom w:val="none" w:sz="0" w:space="0" w:color="auto"/>
        <w:right w:val="none" w:sz="0" w:space="0" w:color="auto"/>
      </w:divBdr>
      <w:divsChild>
        <w:div w:id="405342805">
          <w:marLeft w:val="274"/>
          <w:marRight w:val="0"/>
          <w:marTop w:val="0"/>
          <w:marBottom w:val="0"/>
          <w:divBdr>
            <w:top w:val="none" w:sz="0" w:space="0" w:color="auto"/>
            <w:left w:val="none" w:sz="0" w:space="0" w:color="auto"/>
            <w:bottom w:val="none" w:sz="0" w:space="0" w:color="auto"/>
            <w:right w:val="none" w:sz="0" w:space="0" w:color="auto"/>
          </w:divBdr>
        </w:div>
        <w:div w:id="763111678">
          <w:marLeft w:val="274"/>
          <w:marRight w:val="0"/>
          <w:marTop w:val="0"/>
          <w:marBottom w:val="0"/>
          <w:divBdr>
            <w:top w:val="none" w:sz="0" w:space="0" w:color="auto"/>
            <w:left w:val="none" w:sz="0" w:space="0" w:color="auto"/>
            <w:bottom w:val="none" w:sz="0" w:space="0" w:color="auto"/>
            <w:right w:val="none" w:sz="0" w:space="0" w:color="auto"/>
          </w:divBdr>
        </w:div>
        <w:div w:id="1249658919">
          <w:marLeft w:val="274"/>
          <w:marRight w:val="0"/>
          <w:marTop w:val="0"/>
          <w:marBottom w:val="0"/>
          <w:divBdr>
            <w:top w:val="none" w:sz="0" w:space="0" w:color="auto"/>
            <w:left w:val="none" w:sz="0" w:space="0" w:color="auto"/>
            <w:bottom w:val="none" w:sz="0" w:space="0" w:color="auto"/>
            <w:right w:val="none" w:sz="0" w:space="0" w:color="auto"/>
          </w:divBdr>
        </w:div>
      </w:divsChild>
    </w:div>
    <w:div w:id="736518033">
      <w:bodyDiv w:val="1"/>
      <w:marLeft w:val="0"/>
      <w:marRight w:val="0"/>
      <w:marTop w:val="0"/>
      <w:marBottom w:val="0"/>
      <w:divBdr>
        <w:top w:val="none" w:sz="0" w:space="0" w:color="auto"/>
        <w:left w:val="none" w:sz="0" w:space="0" w:color="auto"/>
        <w:bottom w:val="none" w:sz="0" w:space="0" w:color="auto"/>
        <w:right w:val="none" w:sz="0" w:space="0" w:color="auto"/>
      </w:divBdr>
    </w:div>
    <w:div w:id="754665857">
      <w:bodyDiv w:val="1"/>
      <w:marLeft w:val="0"/>
      <w:marRight w:val="0"/>
      <w:marTop w:val="0"/>
      <w:marBottom w:val="0"/>
      <w:divBdr>
        <w:top w:val="none" w:sz="0" w:space="0" w:color="auto"/>
        <w:left w:val="none" w:sz="0" w:space="0" w:color="auto"/>
        <w:bottom w:val="none" w:sz="0" w:space="0" w:color="auto"/>
        <w:right w:val="none" w:sz="0" w:space="0" w:color="auto"/>
      </w:divBdr>
    </w:div>
    <w:div w:id="764619088">
      <w:bodyDiv w:val="1"/>
      <w:marLeft w:val="0"/>
      <w:marRight w:val="0"/>
      <w:marTop w:val="0"/>
      <w:marBottom w:val="0"/>
      <w:divBdr>
        <w:top w:val="none" w:sz="0" w:space="0" w:color="auto"/>
        <w:left w:val="none" w:sz="0" w:space="0" w:color="auto"/>
        <w:bottom w:val="none" w:sz="0" w:space="0" w:color="auto"/>
        <w:right w:val="none" w:sz="0" w:space="0" w:color="auto"/>
      </w:divBdr>
    </w:div>
    <w:div w:id="803306326">
      <w:bodyDiv w:val="1"/>
      <w:marLeft w:val="0"/>
      <w:marRight w:val="0"/>
      <w:marTop w:val="0"/>
      <w:marBottom w:val="0"/>
      <w:divBdr>
        <w:top w:val="none" w:sz="0" w:space="0" w:color="auto"/>
        <w:left w:val="none" w:sz="0" w:space="0" w:color="auto"/>
        <w:bottom w:val="none" w:sz="0" w:space="0" w:color="auto"/>
        <w:right w:val="none" w:sz="0" w:space="0" w:color="auto"/>
      </w:divBdr>
    </w:div>
    <w:div w:id="830146544">
      <w:bodyDiv w:val="1"/>
      <w:marLeft w:val="0"/>
      <w:marRight w:val="0"/>
      <w:marTop w:val="0"/>
      <w:marBottom w:val="0"/>
      <w:divBdr>
        <w:top w:val="none" w:sz="0" w:space="0" w:color="auto"/>
        <w:left w:val="none" w:sz="0" w:space="0" w:color="auto"/>
        <w:bottom w:val="none" w:sz="0" w:space="0" w:color="auto"/>
        <w:right w:val="none" w:sz="0" w:space="0" w:color="auto"/>
      </w:divBdr>
    </w:div>
    <w:div w:id="849680522">
      <w:bodyDiv w:val="1"/>
      <w:marLeft w:val="0"/>
      <w:marRight w:val="0"/>
      <w:marTop w:val="0"/>
      <w:marBottom w:val="0"/>
      <w:divBdr>
        <w:top w:val="none" w:sz="0" w:space="0" w:color="auto"/>
        <w:left w:val="none" w:sz="0" w:space="0" w:color="auto"/>
        <w:bottom w:val="none" w:sz="0" w:space="0" w:color="auto"/>
        <w:right w:val="none" w:sz="0" w:space="0" w:color="auto"/>
      </w:divBdr>
    </w:div>
    <w:div w:id="867453770">
      <w:bodyDiv w:val="1"/>
      <w:marLeft w:val="0"/>
      <w:marRight w:val="0"/>
      <w:marTop w:val="0"/>
      <w:marBottom w:val="0"/>
      <w:divBdr>
        <w:top w:val="none" w:sz="0" w:space="0" w:color="auto"/>
        <w:left w:val="none" w:sz="0" w:space="0" w:color="auto"/>
        <w:bottom w:val="none" w:sz="0" w:space="0" w:color="auto"/>
        <w:right w:val="none" w:sz="0" w:space="0" w:color="auto"/>
      </w:divBdr>
    </w:div>
    <w:div w:id="869876315">
      <w:bodyDiv w:val="1"/>
      <w:marLeft w:val="0"/>
      <w:marRight w:val="0"/>
      <w:marTop w:val="0"/>
      <w:marBottom w:val="0"/>
      <w:divBdr>
        <w:top w:val="none" w:sz="0" w:space="0" w:color="auto"/>
        <w:left w:val="none" w:sz="0" w:space="0" w:color="auto"/>
        <w:bottom w:val="none" w:sz="0" w:space="0" w:color="auto"/>
        <w:right w:val="none" w:sz="0" w:space="0" w:color="auto"/>
      </w:divBdr>
    </w:div>
    <w:div w:id="879585284">
      <w:bodyDiv w:val="1"/>
      <w:marLeft w:val="0"/>
      <w:marRight w:val="0"/>
      <w:marTop w:val="0"/>
      <w:marBottom w:val="0"/>
      <w:divBdr>
        <w:top w:val="none" w:sz="0" w:space="0" w:color="auto"/>
        <w:left w:val="none" w:sz="0" w:space="0" w:color="auto"/>
        <w:bottom w:val="none" w:sz="0" w:space="0" w:color="auto"/>
        <w:right w:val="none" w:sz="0" w:space="0" w:color="auto"/>
      </w:divBdr>
    </w:div>
    <w:div w:id="882668413">
      <w:bodyDiv w:val="1"/>
      <w:marLeft w:val="0"/>
      <w:marRight w:val="0"/>
      <w:marTop w:val="0"/>
      <w:marBottom w:val="0"/>
      <w:divBdr>
        <w:top w:val="none" w:sz="0" w:space="0" w:color="auto"/>
        <w:left w:val="none" w:sz="0" w:space="0" w:color="auto"/>
        <w:bottom w:val="none" w:sz="0" w:space="0" w:color="auto"/>
        <w:right w:val="none" w:sz="0" w:space="0" w:color="auto"/>
      </w:divBdr>
    </w:div>
    <w:div w:id="901477994">
      <w:bodyDiv w:val="1"/>
      <w:marLeft w:val="0"/>
      <w:marRight w:val="0"/>
      <w:marTop w:val="0"/>
      <w:marBottom w:val="0"/>
      <w:divBdr>
        <w:top w:val="none" w:sz="0" w:space="0" w:color="auto"/>
        <w:left w:val="none" w:sz="0" w:space="0" w:color="auto"/>
        <w:bottom w:val="none" w:sz="0" w:space="0" w:color="auto"/>
        <w:right w:val="none" w:sz="0" w:space="0" w:color="auto"/>
      </w:divBdr>
    </w:div>
    <w:div w:id="917709288">
      <w:bodyDiv w:val="1"/>
      <w:marLeft w:val="0"/>
      <w:marRight w:val="0"/>
      <w:marTop w:val="0"/>
      <w:marBottom w:val="0"/>
      <w:divBdr>
        <w:top w:val="none" w:sz="0" w:space="0" w:color="auto"/>
        <w:left w:val="none" w:sz="0" w:space="0" w:color="auto"/>
        <w:bottom w:val="none" w:sz="0" w:space="0" w:color="auto"/>
        <w:right w:val="none" w:sz="0" w:space="0" w:color="auto"/>
      </w:divBdr>
      <w:divsChild>
        <w:div w:id="1486891009">
          <w:marLeft w:val="0"/>
          <w:marRight w:val="0"/>
          <w:marTop w:val="0"/>
          <w:marBottom w:val="0"/>
          <w:divBdr>
            <w:top w:val="none" w:sz="0" w:space="0" w:color="auto"/>
            <w:left w:val="none" w:sz="0" w:space="0" w:color="auto"/>
            <w:bottom w:val="none" w:sz="0" w:space="0" w:color="auto"/>
            <w:right w:val="none" w:sz="0" w:space="0" w:color="auto"/>
          </w:divBdr>
          <w:divsChild>
            <w:div w:id="21053725">
              <w:marLeft w:val="0"/>
              <w:marRight w:val="0"/>
              <w:marTop w:val="0"/>
              <w:marBottom w:val="0"/>
              <w:divBdr>
                <w:top w:val="none" w:sz="0" w:space="0" w:color="auto"/>
                <w:left w:val="none" w:sz="0" w:space="0" w:color="auto"/>
                <w:bottom w:val="none" w:sz="0" w:space="0" w:color="auto"/>
                <w:right w:val="none" w:sz="0" w:space="0" w:color="auto"/>
              </w:divBdr>
            </w:div>
            <w:div w:id="86772481">
              <w:marLeft w:val="0"/>
              <w:marRight w:val="0"/>
              <w:marTop w:val="0"/>
              <w:marBottom w:val="0"/>
              <w:divBdr>
                <w:top w:val="none" w:sz="0" w:space="0" w:color="auto"/>
                <w:left w:val="none" w:sz="0" w:space="0" w:color="auto"/>
                <w:bottom w:val="none" w:sz="0" w:space="0" w:color="auto"/>
                <w:right w:val="none" w:sz="0" w:space="0" w:color="auto"/>
              </w:divBdr>
            </w:div>
            <w:div w:id="202714346">
              <w:marLeft w:val="0"/>
              <w:marRight w:val="0"/>
              <w:marTop w:val="0"/>
              <w:marBottom w:val="0"/>
              <w:divBdr>
                <w:top w:val="none" w:sz="0" w:space="0" w:color="auto"/>
                <w:left w:val="none" w:sz="0" w:space="0" w:color="auto"/>
                <w:bottom w:val="none" w:sz="0" w:space="0" w:color="auto"/>
                <w:right w:val="none" w:sz="0" w:space="0" w:color="auto"/>
              </w:divBdr>
            </w:div>
            <w:div w:id="321861651">
              <w:marLeft w:val="0"/>
              <w:marRight w:val="0"/>
              <w:marTop w:val="0"/>
              <w:marBottom w:val="0"/>
              <w:divBdr>
                <w:top w:val="none" w:sz="0" w:space="0" w:color="auto"/>
                <w:left w:val="none" w:sz="0" w:space="0" w:color="auto"/>
                <w:bottom w:val="none" w:sz="0" w:space="0" w:color="auto"/>
                <w:right w:val="none" w:sz="0" w:space="0" w:color="auto"/>
              </w:divBdr>
            </w:div>
            <w:div w:id="467286429">
              <w:marLeft w:val="0"/>
              <w:marRight w:val="0"/>
              <w:marTop w:val="0"/>
              <w:marBottom w:val="0"/>
              <w:divBdr>
                <w:top w:val="none" w:sz="0" w:space="0" w:color="auto"/>
                <w:left w:val="none" w:sz="0" w:space="0" w:color="auto"/>
                <w:bottom w:val="none" w:sz="0" w:space="0" w:color="auto"/>
                <w:right w:val="none" w:sz="0" w:space="0" w:color="auto"/>
              </w:divBdr>
            </w:div>
            <w:div w:id="659162938">
              <w:marLeft w:val="0"/>
              <w:marRight w:val="0"/>
              <w:marTop w:val="0"/>
              <w:marBottom w:val="0"/>
              <w:divBdr>
                <w:top w:val="none" w:sz="0" w:space="0" w:color="auto"/>
                <w:left w:val="none" w:sz="0" w:space="0" w:color="auto"/>
                <w:bottom w:val="none" w:sz="0" w:space="0" w:color="auto"/>
                <w:right w:val="none" w:sz="0" w:space="0" w:color="auto"/>
              </w:divBdr>
            </w:div>
            <w:div w:id="699168276">
              <w:marLeft w:val="0"/>
              <w:marRight w:val="0"/>
              <w:marTop w:val="0"/>
              <w:marBottom w:val="0"/>
              <w:divBdr>
                <w:top w:val="none" w:sz="0" w:space="0" w:color="auto"/>
                <w:left w:val="none" w:sz="0" w:space="0" w:color="auto"/>
                <w:bottom w:val="none" w:sz="0" w:space="0" w:color="auto"/>
                <w:right w:val="none" w:sz="0" w:space="0" w:color="auto"/>
              </w:divBdr>
            </w:div>
            <w:div w:id="752363225">
              <w:marLeft w:val="0"/>
              <w:marRight w:val="0"/>
              <w:marTop w:val="0"/>
              <w:marBottom w:val="0"/>
              <w:divBdr>
                <w:top w:val="none" w:sz="0" w:space="0" w:color="auto"/>
                <w:left w:val="none" w:sz="0" w:space="0" w:color="auto"/>
                <w:bottom w:val="none" w:sz="0" w:space="0" w:color="auto"/>
                <w:right w:val="none" w:sz="0" w:space="0" w:color="auto"/>
              </w:divBdr>
            </w:div>
            <w:div w:id="752510534">
              <w:marLeft w:val="0"/>
              <w:marRight w:val="0"/>
              <w:marTop w:val="0"/>
              <w:marBottom w:val="0"/>
              <w:divBdr>
                <w:top w:val="none" w:sz="0" w:space="0" w:color="auto"/>
                <w:left w:val="none" w:sz="0" w:space="0" w:color="auto"/>
                <w:bottom w:val="none" w:sz="0" w:space="0" w:color="auto"/>
                <w:right w:val="none" w:sz="0" w:space="0" w:color="auto"/>
              </w:divBdr>
            </w:div>
            <w:div w:id="762991630">
              <w:marLeft w:val="0"/>
              <w:marRight w:val="0"/>
              <w:marTop w:val="0"/>
              <w:marBottom w:val="0"/>
              <w:divBdr>
                <w:top w:val="none" w:sz="0" w:space="0" w:color="auto"/>
                <w:left w:val="none" w:sz="0" w:space="0" w:color="auto"/>
                <w:bottom w:val="none" w:sz="0" w:space="0" w:color="auto"/>
                <w:right w:val="none" w:sz="0" w:space="0" w:color="auto"/>
              </w:divBdr>
            </w:div>
            <w:div w:id="768812438">
              <w:marLeft w:val="0"/>
              <w:marRight w:val="0"/>
              <w:marTop w:val="0"/>
              <w:marBottom w:val="0"/>
              <w:divBdr>
                <w:top w:val="none" w:sz="0" w:space="0" w:color="auto"/>
                <w:left w:val="none" w:sz="0" w:space="0" w:color="auto"/>
                <w:bottom w:val="none" w:sz="0" w:space="0" w:color="auto"/>
                <w:right w:val="none" w:sz="0" w:space="0" w:color="auto"/>
              </w:divBdr>
            </w:div>
            <w:div w:id="859776251">
              <w:marLeft w:val="0"/>
              <w:marRight w:val="0"/>
              <w:marTop w:val="0"/>
              <w:marBottom w:val="0"/>
              <w:divBdr>
                <w:top w:val="none" w:sz="0" w:space="0" w:color="auto"/>
                <w:left w:val="none" w:sz="0" w:space="0" w:color="auto"/>
                <w:bottom w:val="none" w:sz="0" w:space="0" w:color="auto"/>
                <w:right w:val="none" w:sz="0" w:space="0" w:color="auto"/>
              </w:divBdr>
            </w:div>
            <w:div w:id="876504177">
              <w:marLeft w:val="0"/>
              <w:marRight w:val="0"/>
              <w:marTop w:val="0"/>
              <w:marBottom w:val="0"/>
              <w:divBdr>
                <w:top w:val="none" w:sz="0" w:space="0" w:color="auto"/>
                <w:left w:val="none" w:sz="0" w:space="0" w:color="auto"/>
                <w:bottom w:val="none" w:sz="0" w:space="0" w:color="auto"/>
                <w:right w:val="none" w:sz="0" w:space="0" w:color="auto"/>
              </w:divBdr>
            </w:div>
            <w:div w:id="920795692">
              <w:marLeft w:val="0"/>
              <w:marRight w:val="0"/>
              <w:marTop w:val="0"/>
              <w:marBottom w:val="0"/>
              <w:divBdr>
                <w:top w:val="none" w:sz="0" w:space="0" w:color="auto"/>
                <w:left w:val="none" w:sz="0" w:space="0" w:color="auto"/>
                <w:bottom w:val="none" w:sz="0" w:space="0" w:color="auto"/>
                <w:right w:val="none" w:sz="0" w:space="0" w:color="auto"/>
              </w:divBdr>
            </w:div>
            <w:div w:id="944001783">
              <w:marLeft w:val="0"/>
              <w:marRight w:val="0"/>
              <w:marTop w:val="0"/>
              <w:marBottom w:val="0"/>
              <w:divBdr>
                <w:top w:val="none" w:sz="0" w:space="0" w:color="auto"/>
                <w:left w:val="none" w:sz="0" w:space="0" w:color="auto"/>
                <w:bottom w:val="none" w:sz="0" w:space="0" w:color="auto"/>
                <w:right w:val="none" w:sz="0" w:space="0" w:color="auto"/>
              </w:divBdr>
            </w:div>
            <w:div w:id="961687220">
              <w:marLeft w:val="0"/>
              <w:marRight w:val="0"/>
              <w:marTop w:val="0"/>
              <w:marBottom w:val="0"/>
              <w:divBdr>
                <w:top w:val="none" w:sz="0" w:space="0" w:color="auto"/>
                <w:left w:val="none" w:sz="0" w:space="0" w:color="auto"/>
                <w:bottom w:val="none" w:sz="0" w:space="0" w:color="auto"/>
                <w:right w:val="none" w:sz="0" w:space="0" w:color="auto"/>
              </w:divBdr>
            </w:div>
            <w:div w:id="969435196">
              <w:marLeft w:val="0"/>
              <w:marRight w:val="0"/>
              <w:marTop w:val="0"/>
              <w:marBottom w:val="0"/>
              <w:divBdr>
                <w:top w:val="none" w:sz="0" w:space="0" w:color="auto"/>
                <w:left w:val="none" w:sz="0" w:space="0" w:color="auto"/>
                <w:bottom w:val="none" w:sz="0" w:space="0" w:color="auto"/>
                <w:right w:val="none" w:sz="0" w:space="0" w:color="auto"/>
              </w:divBdr>
            </w:div>
            <w:div w:id="1024526031">
              <w:marLeft w:val="0"/>
              <w:marRight w:val="0"/>
              <w:marTop w:val="0"/>
              <w:marBottom w:val="0"/>
              <w:divBdr>
                <w:top w:val="none" w:sz="0" w:space="0" w:color="auto"/>
                <w:left w:val="none" w:sz="0" w:space="0" w:color="auto"/>
                <w:bottom w:val="none" w:sz="0" w:space="0" w:color="auto"/>
                <w:right w:val="none" w:sz="0" w:space="0" w:color="auto"/>
              </w:divBdr>
            </w:div>
            <w:div w:id="1054238030">
              <w:marLeft w:val="0"/>
              <w:marRight w:val="0"/>
              <w:marTop w:val="0"/>
              <w:marBottom w:val="0"/>
              <w:divBdr>
                <w:top w:val="none" w:sz="0" w:space="0" w:color="auto"/>
                <w:left w:val="none" w:sz="0" w:space="0" w:color="auto"/>
                <w:bottom w:val="none" w:sz="0" w:space="0" w:color="auto"/>
                <w:right w:val="none" w:sz="0" w:space="0" w:color="auto"/>
              </w:divBdr>
            </w:div>
            <w:div w:id="1085683257">
              <w:marLeft w:val="0"/>
              <w:marRight w:val="0"/>
              <w:marTop w:val="0"/>
              <w:marBottom w:val="0"/>
              <w:divBdr>
                <w:top w:val="none" w:sz="0" w:space="0" w:color="auto"/>
                <w:left w:val="none" w:sz="0" w:space="0" w:color="auto"/>
                <w:bottom w:val="none" w:sz="0" w:space="0" w:color="auto"/>
                <w:right w:val="none" w:sz="0" w:space="0" w:color="auto"/>
              </w:divBdr>
            </w:div>
            <w:div w:id="1118523219">
              <w:marLeft w:val="0"/>
              <w:marRight w:val="0"/>
              <w:marTop w:val="0"/>
              <w:marBottom w:val="0"/>
              <w:divBdr>
                <w:top w:val="none" w:sz="0" w:space="0" w:color="auto"/>
                <w:left w:val="none" w:sz="0" w:space="0" w:color="auto"/>
                <w:bottom w:val="none" w:sz="0" w:space="0" w:color="auto"/>
                <w:right w:val="none" w:sz="0" w:space="0" w:color="auto"/>
              </w:divBdr>
            </w:div>
            <w:div w:id="1125079554">
              <w:marLeft w:val="0"/>
              <w:marRight w:val="0"/>
              <w:marTop w:val="0"/>
              <w:marBottom w:val="0"/>
              <w:divBdr>
                <w:top w:val="none" w:sz="0" w:space="0" w:color="auto"/>
                <w:left w:val="none" w:sz="0" w:space="0" w:color="auto"/>
                <w:bottom w:val="none" w:sz="0" w:space="0" w:color="auto"/>
                <w:right w:val="none" w:sz="0" w:space="0" w:color="auto"/>
              </w:divBdr>
            </w:div>
            <w:div w:id="1221136229">
              <w:marLeft w:val="0"/>
              <w:marRight w:val="0"/>
              <w:marTop w:val="0"/>
              <w:marBottom w:val="0"/>
              <w:divBdr>
                <w:top w:val="none" w:sz="0" w:space="0" w:color="auto"/>
                <w:left w:val="none" w:sz="0" w:space="0" w:color="auto"/>
                <w:bottom w:val="none" w:sz="0" w:space="0" w:color="auto"/>
                <w:right w:val="none" w:sz="0" w:space="0" w:color="auto"/>
              </w:divBdr>
            </w:div>
            <w:div w:id="1235892906">
              <w:marLeft w:val="0"/>
              <w:marRight w:val="0"/>
              <w:marTop w:val="0"/>
              <w:marBottom w:val="0"/>
              <w:divBdr>
                <w:top w:val="none" w:sz="0" w:space="0" w:color="auto"/>
                <w:left w:val="none" w:sz="0" w:space="0" w:color="auto"/>
                <w:bottom w:val="none" w:sz="0" w:space="0" w:color="auto"/>
                <w:right w:val="none" w:sz="0" w:space="0" w:color="auto"/>
              </w:divBdr>
            </w:div>
            <w:div w:id="1276789439">
              <w:marLeft w:val="0"/>
              <w:marRight w:val="0"/>
              <w:marTop w:val="0"/>
              <w:marBottom w:val="0"/>
              <w:divBdr>
                <w:top w:val="none" w:sz="0" w:space="0" w:color="auto"/>
                <w:left w:val="none" w:sz="0" w:space="0" w:color="auto"/>
                <w:bottom w:val="none" w:sz="0" w:space="0" w:color="auto"/>
                <w:right w:val="none" w:sz="0" w:space="0" w:color="auto"/>
              </w:divBdr>
            </w:div>
            <w:div w:id="1327705941">
              <w:marLeft w:val="0"/>
              <w:marRight w:val="0"/>
              <w:marTop w:val="0"/>
              <w:marBottom w:val="0"/>
              <w:divBdr>
                <w:top w:val="none" w:sz="0" w:space="0" w:color="auto"/>
                <w:left w:val="none" w:sz="0" w:space="0" w:color="auto"/>
                <w:bottom w:val="none" w:sz="0" w:space="0" w:color="auto"/>
                <w:right w:val="none" w:sz="0" w:space="0" w:color="auto"/>
              </w:divBdr>
            </w:div>
            <w:div w:id="1401707947">
              <w:marLeft w:val="0"/>
              <w:marRight w:val="0"/>
              <w:marTop w:val="0"/>
              <w:marBottom w:val="0"/>
              <w:divBdr>
                <w:top w:val="none" w:sz="0" w:space="0" w:color="auto"/>
                <w:left w:val="none" w:sz="0" w:space="0" w:color="auto"/>
                <w:bottom w:val="none" w:sz="0" w:space="0" w:color="auto"/>
                <w:right w:val="none" w:sz="0" w:space="0" w:color="auto"/>
              </w:divBdr>
            </w:div>
            <w:div w:id="1437211277">
              <w:marLeft w:val="0"/>
              <w:marRight w:val="0"/>
              <w:marTop w:val="0"/>
              <w:marBottom w:val="0"/>
              <w:divBdr>
                <w:top w:val="none" w:sz="0" w:space="0" w:color="auto"/>
                <w:left w:val="none" w:sz="0" w:space="0" w:color="auto"/>
                <w:bottom w:val="none" w:sz="0" w:space="0" w:color="auto"/>
                <w:right w:val="none" w:sz="0" w:space="0" w:color="auto"/>
              </w:divBdr>
            </w:div>
            <w:div w:id="1470787667">
              <w:marLeft w:val="0"/>
              <w:marRight w:val="0"/>
              <w:marTop w:val="0"/>
              <w:marBottom w:val="0"/>
              <w:divBdr>
                <w:top w:val="none" w:sz="0" w:space="0" w:color="auto"/>
                <w:left w:val="none" w:sz="0" w:space="0" w:color="auto"/>
                <w:bottom w:val="none" w:sz="0" w:space="0" w:color="auto"/>
                <w:right w:val="none" w:sz="0" w:space="0" w:color="auto"/>
              </w:divBdr>
            </w:div>
            <w:div w:id="1518739210">
              <w:marLeft w:val="0"/>
              <w:marRight w:val="0"/>
              <w:marTop w:val="0"/>
              <w:marBottom w:val="0"/>
              <w:divBdr>
                <w:top w:val="none" w:sz="0" w:space="0" w:color="auto"/>
                <w:left w:val="none" w:sz="0" w:space="0" w:color="auto"/>
                <w:bottom w:val="none" w:sz="0" w:space="0" w:color="auto"/>
                <w:right w:val="none" w:sz="0" w:space="0" w:color="auto"/>
              </w:divBdr>
            </w:div>
            <w:div w:id="1524203273">
              <w:marLeft w:val="0"/>
              <w:marRight w:val="0"/>
              <w:marTop w:val="0"/>
              <w:marBottom w:val="0"/>
              <w:divBdr>
                <w:top w:val="none" w:sz="0" w:space="0" w:color="auto"/>
                <w:left w:val="none" w:sz="0" w:space="0" w:color="auto"/>
                <w:bottom w:val="none" w:sz="0" w:space="0" w:color="auto"/>
                <w:right w:val="none" w:sz="0" w:space="0" w:color="auto"/>
              </w:divBdr>
            </w:div>
            <w:div w:id="1550339697">
              <w:marLeft w:val="0"/>
              <w:marRight w:val="0"/>
              <w:marTop w:val="0"/>
              <w:marBottom w:val="0"/>
              <w:divBdr>
                <w:top w:val="none" w:sz="0" w:space="0" w:color="auto"/>
                <w:left w:val="none" w:sz="0" w:space="0" w:color="auto"/>
                <w:bottom w:val="none" w:sz="0" w:space="0" w:color="auto"/>
                <w:right w:val="none" w:sz="0" w:space="0" w:color="auto"/>
              </w:divBdr>
            </w:div>
            <w:div w:id="1629585091">
              <w:marLeft w:val="0"/>
              <w:marRight w:val="0"/>
              <w:marTop w:val="0"/>
              <w:marBottom w:val="0"/>
              <w:divBdr>
                <w:top w:val="none" w:sz="0" w:space="0" w:color="auto"/>
                <w:left w:val="none" w:sz="0" w:space="0" w:color="auto"/>
                <w:bottom w:val="none" w:sz="0" w:space="0" w:color="auto"/>
                <w:right w:val="none" w:sz="0" w:space="0" w:color="auto"/>
              </w:divBdr>
            </w:div>
            <w:div w:id="1630818728">
              <w:marLeft w:val="0"/>
              <w:marRight w:val="0"/>
              <w:marTop w:val="0"/>
              <w:marBottom w:val="0"/>
              <w:divBdr>
                <w:top w:val="none" w:sz="0" w:space="0" w:color="auto"/>
                <w:left w:val="none" w:sz="0" w:space="0" w:color="auto"/>
                <w:bottom w:val="none" w:sz="0" w:space="0" w:color="auto"/>
                <w:right w:val="none" w:sz="0" w:space="0" w:color="auto"/>
              </w:divBdr>
            </w:div>
            <w:div w:id="1668822712">
              <w:marLeft w:val="0"/>
              <w:marRight w:val="0"/>
              <w:marTop w:val="0"/>
              <w:marBottom w:val="0"/>
              <w:divBdr>
                <w:top w:val="none" w:sz="0" w:space="0" w:color="auto"/>
                <w:left w:val="none" w:sz="0" w:space="0" w:color="auto"/>
                <w:bottom w:val="none" w:sz="0" w:space="0" w:color="auto"/>
                <w:right w:val="none" w:sz="0" w:space="0" w:color="auto"/>
              </w:divBdr>
            </w:div>
            <w:div w:id="1748109932">
              <w:marLeft w:val="0"/>
              <w:marRight w:val="0"/>
              <w:marTop w:val="0"/>
              <w:marBottom w:val="0"/>
              <w:divBdr>
                <w:top w:val="none" w:sz="0" w:space="0" w:color="auto"/>
                <w:left w:val="none" w:sz="0" w:space="0" w:color="auto"/>
                <w:bottom w:val="none" w:sz="0" w:space="0" w:color="auto"/>
                <w:right w:val="none" w:sz="0" w:space="0" w:color="auto"/>
              </w:divBdr>
            </w:div>
            <w:div w:id="1800757404">
              <w:marLeft w:val="0"/>
              <w:marRight w:val="0"/>
              <w:marTop w:val="0"/>
              <w:marBottom w:val="0"/>
              <w:divBdr>
                <w:top w:val="none" w:sz="0" w:space="0" w:color="auto"/>
                <w:left w:val="none" w:sz="0" w:space="0" w:color="auto"/>
                <w:bottom w:val="none" w:sz="0" w:space="0" w:color="auto"/>
                <w:right w:val="none" w:sz="0" w:space="0" w:color="auto"/>
              </w:divBdr>
            </w:div>
            <w:div w:id="1842772798">
              <w:marLeft w:val="0"/>
              <w:marRight w:val="0"/>
              <w:marTop w:val="0"/>
              <w:marBottom w:val="0"/>
              <w:divBdr>
                <w:top w:val="none" w:sz="0" w:space="0" w:color="auto"/>
                <w:left w:val="none" w:sz="0" w:space="0" w:color="auto"/>
                <w:bottom w:val="none" w:sz="0" w:space="0" w:color="auto"/>
                <w:right w:val="none" w:sz="0" w:space="0" w:color="auto"/>
              </w:divBdr>
            </w:div>
            <w:div w:id="1873491697">
              <w:marLeft w:val="0"/>
              <w:marRight w:val="0"/>
              <w:marTop w:val="0"/>
              <w:marBottom w:val="0"/>
              <w:divBdr>
                <w:top w:val="none" w:sz="0" w:space="0" w:color="auto"/>
                <w:left w:val="none" w:sz="0" w:space="0" w:color="auto"/>
                <w:bottom w:val="none" w:sz="0" w:space="0" w:color="auto"/>
                <w:right w:val="none" w:sz="0" w:space="0" w:color="auto"/>
              </w:divBdr>
            </w:div>
            <w:div w:id="2009357795">
              <w:marLeft w:val="0"/>
              <w:marRight w:val="0"/>
              <w:marTop w:val="0"/>
              <w:marBottom w:val="0"/>
              <w:divBdr>
                <w:top w:val="none" w:sz="0" w:space="0" w:color="auto"/>
                <w:left w:val="none" w:sz="0" w:space="0" w:color="auto"/>
                <w:bottom w:val="none" w:sz="0" w:space="0" w:color="auto"/>
                <w:right w:val="none" w:sz="0" w:space="0" w:color="auto"/>
              </w:divBdr>
            </w:div>
            <w:div w:id="2026131815">
              <w:marLeft w:val="0"/>
              <w:marRight w:val="0"/>
              <w:marTop w:val="0"/>
              <w:marBottom w:val="0"/>
              <w:divBdr>
                <w:top w:val="none" w:sz="0" w:space="0" w:color="auto"/>
                <w:left w:val="none" w:sz="0" w:space="0" w:color="auto"/>
                <w:bottom w:val="none" w:sz="0" w:space="0" w:color="auto"/>
                <w:right w:val="none" w:sz="0" w:space="0" w:color="auto"/>
              </w:divBdr>
            </w:div>
            <w:div w:id="2036073413">
              <w:marLeft w:val="0"/>
              <w:marRight w:val="0"/>
              <w:marTop w:val="0"/>
              <w:marBottom w:val="0"/>
              <w:divBdr>
                <w:top w:val="none" w:sz="0" w:space="0" w:color="auto"/>
                <w:left w:val="none" w:sz="0" w:space="0" w:color="auto"/>
                <w:bottom w:val="none" w:sz="0" w:space="0" w:color="auto"/>
                <w:right w:val="none" w:sz="0" w:space="0" w:color="auto"/>
              </w:divBdr>
            </w:div>
            <w:div w:id="2047870836">
              <w:marLeft w:val="0"/>
              <w:marRight w:val="0"/>
              <w:marTop w:val="0"/>
              <w:marBottom w:val="0"/>
              <w:divBdr>
                <w:top w:val="none" w:sz="0" w:space="0" w:color="auto"/>
                <w:left w:val="none" w:sz="0" w:space="0" w:color="auto"/>
                <w:bottom w:val="none" w:sz="0" w:space="0" w:color="auto"/>
                <w:right w:val="none" w:sz="0" w:space="0" w:color="auto"/>
              </w:divBdr>
            </w:div>
            <w:div w:id="207365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556663">
      <w:bodyDiv w:val="1"/>
      <w:marLeft w:val="0"/>
      <w:marRight w:val="0"/>
      <w:marTop w:val="0"/>
      <w:marBottom w:val="0"/>
      <w:divBdr>
        <w:top w:val="none" w:sz="0" w:space="0" w:color="auto"/>
        <w:left w:val="none" w:sz="0" w:space="0" w:color="auto"/>
        <w:bottom w:val="none" w:sz="0" w:space="0" w:color="auto"/>
        <w:right w:val="none" w:sz="0" w:space="0" w:color="auto"/>
      </w:divBdr>
    </w:div>
    <w:div w:id="999231110">
      <w:bodyDiv w:val="1"/>
      <w:marLeft w:val="0"/>
      <w:marRight w:val="0"/>
      <w:marTop w:val="0"/>
      <w:marBottom w:val="0"/>
      <w:divBdr>
        <w:top w:val="none" w:sz="0" w:space="0" w:color="auto"/>
        <w:left w:val="none" w:sz="0" w:space="0" w:color="auto"/>
        <w:bottom w:val="none" w:sz="0" w:space="0" w:color="auto"/>
        <w:right w:val="none" w:sz="0" w:space="0" w:color="auto"/>
      </w:divBdr>
    </w:div>
    <w:div w:id="1010718126">
      <w:bodyDiv w:val="1"/>
      <w:marLeft w:val="0"/>
      <w:marRight w:val="0"/>
      <w:marTop w:val="0"/>
      <w:marBottom w:val="0"/>
      <w:divBdr>
        <w:top w:val="none" w:sz="0" w:space="0" w:color="auto"/>
        <w:left w:val="none" w:sz="0" w:space="0" w:color="auto"/>
        <w:bottom w:val="none" w:sz="0" w:space="0" w:color="auto"/>
        <w:right w:val="none" w:sz="0" w:space="0" w:color="auto"/>
      </w:divBdr>
      <w:divsChild>
        <w:div w:id="51005024">
          <w:marLeft w:val="446"/>
          <w:marRight w:val="0"/>
          <w:marTop w:val="53"/>
          <w:marBottom w:val="0"/>
          <w:divBdr>
            <w:top w:val="none" w:sz="0" w:space="0" w:color="auto"/>
            <w:left w:val="none" w:sz="0" w:space="0" w:color="auto"/>
            <w:bottom w:val="none" w:sz="0" w:space="0" w:color="auto"/>
            <w:right w:val="none" w:sz="0" w:space="0" w:color="auto"/>
          </w:divBdr>
        </w:div>
        <w:div w:id="701367428">
          <w:marLeft w:val="446"/>
          <w:marRight w:val="0"/>
          <w:marTop w:val="53"/>
          <w:marBottom w:val="0"/>
          <w:divBdr>
            <w:top w:val="none" w:sz="0" w:space="0" w:color="auto"/>
            <w:left w:val="none" w:sz="0" w:space="0" w:color="auto"/>
            <w:bottom w:val="none" w:sz="0" w:space="0" w:color="auto"/>
            <w:right w:val="none" w:sz="0" w:space="0" w:color="auto"/>
          </w:divBdr>
        </w:div>
        <w:div w:id="1430195776">
          <w:marLeft w:val="446"/>
          <w:marRight w:val="0"/>
          <w:marTop w:val="53"/>
          <w:marBottom w:val="0"/>
          <w:divBdr>
            <w:top w:val="none" w:sz="0" w:space="0" w:color="auto"/>
            <w:left w:val="none" w:sz="0" w:space="0" w:color="auto"/>
            <w:bottom w:val="none" w:sz="0" w:space="0" w:color="auto"/>
            <w:right w:val="none" w:sz="0" w:space="0" w:color="auto"/>
          </w:divBdr>
        </w:div>
        <w:div w:id="1515610614">
          <w:marLeft w:val="446"/>
          <w:marRight w:val="0"/>
          <w:marTop w:val="53"/>
          <w:marBottom w:val="0"/>
          <w:divBdr>
            <w:top w:val="none" w:sz="0" w:space="0" w:color="auto"/>
            <w:left w:val="none" w:sz="0" w:space="0" w:color="auto"/>
            <w:bottom w:val="none" w:sz="0" w:space="0" w:color="auto"/>
            <w:right w:val="none" w:sz="0" w:space="0" w:color="auto"/>
          </w:divBdr>
        </w:div>
        <w:div w:id="2122914312">
          <w:marLeft w:val="446"/>
          <w:marRight w:val="0"/>
          <w:marTop w:val="53"/>
          <w:marBottom w:val="0"/>
          <w:divBdr>
            <w:top w:val="none" w:sz="0" w:space="0" w:color="auto"/>
            <w:left w:val="none" w:sz="0" w:space="0" w:color="auto"/>
            <w:bottom w:val="none" w:sz="0" w:space="0" w:color="auto"/>
            <w:right w:val="none" w:sz="0" w:space="0" w:color="auto"/>
          </w:divBdr>
        </w:div>
      </w:divsChild>
    </w:div>
    <w:div w:id="1050615462">
      <w:bodyDiv w:val="1"/>
      <w:marLeft w:val="0"/>
      <w:marRight w:val="0"/>
      <w:marTop w:val="0"/>
      <w:marBottom w:val="0"/>
      <w:divBdr>
        <w:top w:val="none" w:sz="0" w:space="0" w:color="auto"/>
        <w:left w:val="none" w:sz="0" w:space="0" w:color="auto"/>
        <w:bottom w:val="none" w:sz="0" w:space="0" w:color="auto"/>
        <w:right w:val="none" w:sz="0" w:space="0" w:color="auto"/>
      </w:divBdr>
    </w:div>
    <w:div w:id="1068384865">
      <w:bodyDiv w:val="1"/>
      <w:marLeft w:val="0"/>
      <w:marRight w:val="0"/>
      <w:marTop w:val="0"/>
      <w:marBottom w:val="0"/>
      <w:divBdr>
        <w:top w:val="none" w:sz="0" w:space="0" w:color="auto"/>
        <w:left w:val="none" w:sz="0" w:space="0" w:color="auto"/>
        <w:bottom w:val="none" w:sz="0" w:space="0" w:color="auto"/>
        <w:right w:val="none" w:sz="0" w:space="0" w:color="auto"/>
      </w:divBdr>
    </w:div>
    <w:div w:id="1068723353">
      <w:bodyDiv w:val="1"/>
      <w:marLeft w:val="0"/>
      <w:marRight w:val="0"/>
      <w:marTop w:val="0"/>
      <w:marBottom w:val="0"/>
      <w:divBdr>
        <w:top w:val="none" w:sz="0" w:space="0" w:color="auto"/>
        <w:left w:val="none" w:sz="0" w:space="0" w:color="auto"/>
        <w:bottom w:val="none" w:sz="0" w:space="0" w:color="auto"/>
        <w:right w:val="none" w:sz="0" w:space="0" w:color="auto"/>
      </w:divBdr>
    </w:div>
    <w:div w:id="1113669047">
      <w:bodyDiv w:val="1"/>
      <w:marLeft w:val="0"/>
      <w:marRight w:val="0"/>
      <w:marTop w:val="0"/>
      <w:marBottom w:val="0"/>
      <w:divBdr>
        <w:top w:val="none" w:sz="0" w:space="0" w:color="auto"/>
        <w:left w:val="none" w:sz="0" w:space="0" w:color="auto"/>
        <w:bottom w:val="none" w:sz="0" w:space="0" w:color="auto"/>
        <w:right w:val="none" w:sz="0" w:space="0" w:color="auto"/>
      </w:divBdr>
    </w:div>
    <w:div w:id="1118253444">
      <w:bodyDiv w:val="1"/>
      <w:marLeft w:val="0"/>
      <w:marRight w:val="0"/>
      <w:marTop w:val="0"/>
      <w:marBottom w:val="0"/>
      <w:divBdr>
        <w:top w:val="none" w:sz="0" w:space="0" w:color="auto"/>
        <w:left w:val="none" w:sz="0" w:space="0" w:color="auto"/>
        <w:bottom w:val="none" w:sz="0" w:space="0" w:color="auto"/>
        <w:right w:val="none" w:sz="0" w:space="0" w:color="auto"/>
      </w:divBdr>
      <w:divsChild>
        <w:div w:id="95949735">
          <w:marLeft w:val="1411"/>
          <w:marRight w:val="0"/>
          <w:marTop w:val="120"/>
          <w:marBottom w:val="0"/>
          <w:divBdr>
            <w:top w:val="none" w:sz="0" w:space="0" w:color="auto"/>
            <w:left w:val="none" w:sz="0" w:space="0" w:color="auto"/>
            <w:bottom w:val="none" w:sz="0" w:space="0" w:color="auto"/>
            <w:right w:val="none" w:sz="0" w:space="0" w:color="auto"/>
          </w:divBdr>
        </w:div>
        <w:div w:id="1250651285">
          <w:marLeft w:val="1411"/>
          <w:marRight w:val="0"/>
          <w:marTop w:val="120"/>
          <w:marBottom w:val="0"/>
          <w:divBdr>
            <w:top w:val="none" w:sz="0" w:space="0" w:color="auto"/>
            <w:left w:val="none" w:sz="0" w:space="0" w:color="auto"/>
            <w:bottom w:val="none" w:sz="0" w:space="0" w:color="auto"/>
            <w:right w:val="none" w:sz="0" w:space="0" w:color="auto"/>
          </w:divBdr>
        </w:div>
      </w:divsChild>
    </w:div>
    <w:div w:id="1142119296">
      <w:bodyDiv w:val="1"/>
      <w:marLeft w:val="0"/>
      <w:marRight w:val="0"/>
      <w:marTop w:val="0"/>
      <w:marBottom w:val="0"/>
      <w:divBdr>
        <w:top w:val="none" w:sz="0" w:space="0" w:color="auto"/>
        <w:left w:val="none" w:sz="0" w:space="0" w:color="auto"/>
        <w:bottom w:val="none" w:sz="0" w:space="0" w:color="auto"/>
        <w:right w:val="none" w:sz="0" w:space="0" w:color="auto"/>
      </w:divBdr>
    </w:div>
    <w:div w:id="1149519972">
      <w:bodyDiv w:val="1"/>
      <w:marLeft w:val="0"/>
      <w:marRight w:val="0"/>
      <w:marTop w:val="0"/>
      <w:marBottom w:val="0"/>
      <w:divBdr>
        <w:top w:val="none" w:sz="0" w:space="0" w:color="auto"/>
        <w:left w:val="none" w:sz="0" w:space="0" w:color="auto"/>
        <w:bottom w:val="none" w:sz="0" w:space="0" w:color="auto"/>
        <w:right w:val="none" w:sz="0" w:space="0" w:color="auto"/>
      </w:divBdr>
      <w:divsChild>
        <w:div w:id="747919781">
          <w:marLeft w:val="216"/>
          <w:marRight w:val="0"/>
          <w:marTop w:val="67"/>
          <w:marBottom w:val="0"/>
          <w:divBdr>
            <w:top w:val="none" w:sz="0" w:space="0" w:color="auto"/>
            <w:left w:val="none" w:sz="0" w:space="0" w:color="auto"/>
            <w:bottom w:val="none" w:sz="0" w:space="0" w:color="auto"/>
            <w:right w:val="none" w:sz="0" w:space="0" w:color="auto"/>
          </w:divBdr>
        </w:div>
        <w:div w:id="1009870158">
          <w:marLeft w:val="216"/>
          <w:marRight w:val="0"/>
          <w:marTop w:val="67"/>
          <w:marBottom w:val="0"/>
          <w:divBdr>
            <w:top w:val="none" w:sz="0" w:space="0" w:color="auto"/>
            <w:left w:val="none" w:sz="0" w:space="0" w:color="auto"/>
            <w:bottom w:val="none" w:sz="0" w:space="0" w:color="auto"/>
            <w:right w:val="none" w:sz="0" w:space="0" w:color="auto"/>
          </w:divBdr>
        </w:div>
        <w:div w:id="1499884513">
          <w:marLeft w:val="216"/>
          <w:marRight w:val="0"/>
          <w:marTop w:val="67"/>
          <w:marBottom w:val="0"/>
          <w:divBdr>
            <w:top w:val="none" w:sz="0" w:space="0" w:color="auto"/>
            <w:left w:val="none" w:sz="0" w:space="0" w:color="auto"/>
            <w:bottom w:val="none" w:sz="0" w:space="0" w:color="auto"/>
            <w:right w:val="none" w:sz="0" w:space="0" w:color="auto"/>
          </w:divBdr>
        </w:div>
        <w:div w:id="1741320440">
          <w:marLeft w:val="216"/>
          <w:marRight w:val="0"/>
          <w:marTop w:val="67"/>
          <w:marBottom w:val="0"/>
          <w:divBdr>
            <w:top w:val="none" w:sz="0" w:space="0" w:color="auto"/>
            <w:left w:val="none" w:sz="0" w:space="0" w:color="auto"/>
            <w:bottom w:val="none" w:sz="0" w:space="0" w:color="auto"/>
            <w:right w:val="none" w:sz="0" w:space="0" w:color="auto"/>
          </w:divBdr>
        </w:div>
        <w:div w:id="1889798311">
          <w:marLeft w:val="216"/>
          <w:marRight w:val="0"/>
          <w:marTop w:val="67"/>
          <w:marBottom w:val="0"/>
          <w:divBdr>
            <w:top w:val="none" w:sz="0" w:space="0" w:color="auto"/>
            <w:left w:val="none" w:sz="0" w:space="0" w:color="auto"/>
            <w:bottom w:val="none" w:sz="0" w:space="0" w:color="auto"/>
            <w:right w:val="none" w:sz="0" w:space="0" w:color="auto"/>
          </w:divBdr>
        </w:div>
        <w:div w:id="2060588930">
          <w:marLeft w:val="216"/>
          <w:marRight w:val="0"/>
          <w:marTop w:val="67"/>
          <w:marBottom w:val="0"/>
          <w:divBdr>
            <w:top w:val="none" w:sz="0" w:space="0" w:color="auto"/>
            <w:left w:val="none" w:sz="0" w:space="0" w:color="auto"/>
            <w:bottom w:val="none" w:sz="0" w:space="0" w:color="auto"/>
            <w:right w:val="none" w:sz="0" w:space="0" w:color="auto"/>
          </w:divBdr>
        </w:div>
      </w:divsChild>
    </w:div>
    <w:div w:id="1149593502">
      <w:bodyDiv w:val="1"/>
      <w:marLeft w:val="0"/>
      <w:marRight w:val="0"/>
      <w:marTop w:val="0"/>
      <w:marBottom w:val="0"/>
      <w:divBdr>
        <w:top w:val="none" w:sz="0" w:space="0" w:color="auto"/>
        <w:left w:val="none" w:sz="0" w:space="0" w:color="auto"/>
        <w:bottom w:val="none" w:sz="0" w:space="0" w:color="auto"/>
        <w:right w:val="none" w:sz="0" w:space="0" w:color="auto"/>
      </w:divBdr>
    </w:div>
    <w:div w:id="1218013137">
      <w:bodyDiv w:val="1"/>
      <w:marLeft w:val="0"/>
      <w:marRight w:val="0"/>
      <w:marTop w:val="0"/>
      <w:marBottom w:val="0"/>
      <w:divBdr>
        <w:top w:val="none" w:sz="0" w:space="0" w:color="auto"/>
        <w:left w:val="none" w:sz="0" w:space="0" w:color="auto"/>
        <w:bottom w:val="none" w:sz="0" w:space="0" w:color="auto"/>
        <w:right w:val="none" w:sz="0" w:space="0" w:color="auto"/>
      </w:divBdr>
    </w:div>
    <w:div w:id="1224288665">
      <w:bodyDiv w:val="1"/>
      <w:marLeft w:val="0"/>
      <w:marRight w:val="0"/>
      <w:marTop w:val="0"/>
      <w:marBottom w:val="0"/>
      <w:divBdr>
        <w:top w:val="none" w:sz="0" w:space="0" w:color="auto"/>
        <w:left w:val="none" w:sz="0" w:space="0" w:color="auto"/>
        <w:bottom w:val="none" w:sz="0" w:space="0" w:color="auto"/>
        <w:right w:val="none" w:sz="0" w:space="0" w:color="auto"/>
      </w:divBdr>
    </w:div>
    <w:div w:id="1225527184">
      <w:bodyDiv w:val="1"/>
      <w:marLeft w:val="0"/>
      <w:marRight w:val="0"/>
      <w:marTop w:val="0"/>
      <w:marBottom w:val="0"/>
      <w:divBdr>
        <w:top w:val="none" w:sz="0" w:space="0" w:color="auto"/>
        <w:left w:val="none" w:sz="0" w:space="0" w:color="auto"/>
        <w:bottom w:val="none" w:sz="0" w:space="0" w:color="auto"/>
        <w:right w:val="none" w:sz="0" w:space="0" w:color="auto"/>
      </w:divBdr>
    </w:div>
    <w:div w:id="1237014323">
      <w:bodyDiv w:val="1"/>
      <w:marLeft w:val="0"/>
      <w:marRight w:val="0"/>
      <w:marTop w:val="0"/>
      <w:marBottom w:val="0"/>
      <w:divBdr>
        <w:top w:val="none" w:sz="0" w:space="0" w:color="auto"/>
        <w:left w:val="none" w:sz="0" w:space="0" w:color="auto"/>
        <w:bottom w:val="none" w:sz="0" w:space="0" w:color="auto"/>
        <w:right w:val="none" w:sz="0" w:space="0" w:color="auto"/>
      </w:divBdr>
    </w:div>
    <w:div w:id="1257910024">
      <w:bodyDiv w:val="1"/>
      <w:marLeft w:val="0"/>
      <w:marRight w:val="0"/>
      <w:marTop w:val="0"/>
      <w:marBottom w:val="0"/>
      <w:divBdr>
        <w:top w:val="none" w:sz="0" w:space="0" w:color="auto"/>
        <w:left w:val="none" w:sz="0" w:space="0" w:color="auto"/>
        <w:bottom w:val="none" w:sz="0" w:space="0" w:color="auto"/>
        <w:right w:val="none" w:sz="0" w:space="0" w:color="auto"/>
      </w:divBdr>
    </w:div>
    <w:div w:id="1264723878">
      <w:bodyDiv w:val="1"/>
      <w:marLeft w:val="0"/>
      <w:marRight w:val="0"/>
      <w:marTop w:val="0"/>
      <w:marBottom w:val="0"/>
      <w:divBdr>
        <w:top w:val="none" w:sz="0" w:space="0" w:color="auto"/>
        <w:left w:val="none" w:sz="0" w:space="0" w:color="auto"/>
        <w:bottom w:val="none" w:sz="0" w:space="0" w:color="auto"/>
        <w:right w:val="none" w:sz="0" w:space="0" w:color="auto"/>
      </w:divBdr>
    </w:div>
    <w:div w:id="1290091080">
      <w:bodyDiv w:val="1"/>
      <w:marLeft w:val="0"/>
      <w:marRight w:val="0"/>
      <w:marTop w:val="0"/>
      <w:marBottom w:val="0"/>
      <w:divBdr>
        <w:top w:val="none" w:sz="0" w:space="0" w:color="auto"/>
        <w:left w:val="none" w:sz="0" w:space="0" w:color="auto"/>
        <w:bottom w:val="none" w:sz="0" w:space="0" w:color="auto"/>
        <w:right w:val="none" w:sz="0" w:space="0" w:color="auto"/>
      </w:divBdr>
    </w:div>
    <w:div w:id="1328677671">
      <w:bodyDiv w:val="1"/>
      <w:marLeft w:val="0"/>
      <w:marRight w:val="0"/>
      <w:marTop w:val="0"/>
      <w:marBottom w:val="0"/>
      <w:divBdr>
        <w:top w:val="none" w:sz="0" w:space="0" w:color="auto"/>
        <w:left w:val="none" w:sz="0" w:space="0" w:color="auto"/>
        <w:bottom w:val="none" w:sz="0" w:space="0" w:color="auto"/>
        <w:right w:val="none" w:sz="0" w:space="0" w:color="auto"/>
      </w:divBdr>
    </w:div>
    <w:div w:id="1354457244">
      <w:bodyDiv w:val="1"/>
      <w:marLeft w:val="0"/>
      <w:marRight w:val="0"/>
      <w:marTop w:val="0"/>
      <w:marBottom w:val="0"/>
      <w:divBdr>
        <w:top w:val="none" w:sz="0" w:space="0" w:color="auto"/>
        <w:left w:val="none" w:sz="0" w:space="0" w:color="auto"/>
        <w:bottom w:val="none" w:sz="0" w:space="0" w:color="auto"/>
        <w:right w:val="none" w:sz="0" w:space="0" w:color="auto"/>
      </w:divBdr>
    </w:div>
    <w:div w:id="1365863573">
      <w:bodyDiv w:val="1"/>
      <w:marLeft w:val="0"/>
      <w:marRight w:val="0"/>
      <w:marTop w:val="0"/>
      <w:marBottom w:val="0"/>
      <w:divBdr>
        <w:top w:val="none" w:sz="0" w:space="0" w:color="auto"/>
        <w:left w:val="none" w:sz="0" w:space="0" w:color="auto"/>
        <w:bottom w:val="none" w:sz="0" w:space="0" w:color="auto"/>
        <w:right w:val="none" w:sz="0" w:space="0" w:color="auto"/>
      </w:divBdr>
    </w:div>
    <w:div w:id="1369916542">
      <w:bodyDiv w:val="1"/>
      <w:marLeft w:val="0"/>
      <w:marRight w:val="0"/>
      <w:marTop w:val="0"/>
      <w:marBottom w:val="0"/>
      <w:divBdr>
        <w:top w:val="none" w:sz="0" w:space="0" w:color="auto"/>
        <w:left w:val="none" w:sz="0" w:space="0" w:color="auto"/>
        <w:bottom w:val="none" w:sz="0" w:space="0" w:color="auto"/>
        <w:right w:val="none" w:sz="0" w:space="0" w:color="auto"/>
      </w:divBdr>
    </w:div>
    <w:div w:id="1415318712">
      <w:bodyDiv w:val="1"/>
      <w:marLeft w:val="0"/>
      <w:marRight w:val="0"/>
      <w:marTop w:val="0"/>
      <w:marBottom w:val="0"/>
      <w:divBdr>
        <w:top w:val="none" w:sz="0" w:space="0" w:color="auto"/>
        <w:left w:val="none" w:sz="0" w:space="0" w:color="auto"/>
        <w:bottom w:val="none" w:sz="0" w:space="0" w:color="auto"/>
        <w:right w:val="none" w:sz="0" w:space="0" w:color="auto"/>
      </w:divBdr>
    </w:div>
    <w:div w:id="1524517283">
      <w:bodyDiv w:val="1"/>
      <w:marLeft w:val="0"/>
      <w:marRight w:val="0"/>
      <w:marTop w:val="0"/>
      <w:marBottom w:val="0"/>
      <w:divBdr>
        <w:top w:val="none" w:sz="0" w:space="0" w:color="auto"/>
        <w:left w:val="none" w:sz="0" w:space="0" w:color="auto"/>
        <w:bottom w:val="none" w:sz="0" w:space="0" w:color="auto"/>
        <w:right w:val="none" w:sz="0" w:space="0" w:color="auto"/>
      </w:divBdr>
    </w:div>
    <w:div w:id="1539195077">
      <w:bodyDiv w:val="1"/>
      <w:marLeft w:val="0"/>
      <w:marRight w:val="0"/>
      <w:marTop w:val="0"/>
      <w:marBottom w:val="0"/>
      <w:divBdr>
        <w:top w:val="none" w:sz="0" w:space="0" w:color="auto"/>
        <w:left w:val="none" w:sz="0" w:space="0" w:color="auto"/>
        <w:bottom w:val="none" w:sz="0" w:space="0" w:color="auto"/>
        <w:right w:val="none" w:sz="0" w:space="0" w:color="auto"/>
      </w:divBdr>
    </w:div>
    <w:div w:id="1546218363">
      <w:bodyDiv w:val="1"/>
      <w:marLeft w:val="0"/>
      <w:marRight w:val="0"/>
      <w:marTop w:val="0"/>
      <w:marBottom w:val="0"/>
      <w:divBdr>
        <w:top w:val="none" w:sz="0" w:space="0" w:color="auto"/>
        <w:left w:val="none" w:sz="0" w:space="0" w:color="auto"/>
        <w:bottom w:val="none" w:sz="0" w:space="0" w:color="auto"/>
        <w:right w:val="none" w:sz="0" w:space="0" w:color="auto"/>
      </w:divBdr>
      <w:divsChild>
        <w:div w:id="579876806">
          <w:marLeft w:val="0"/>
          <w:marRight w:val="0"/>
          <w:marTop w:val="0"/>
          <w:marBottom w:val="0"/>
          <w:divBdr>
            <w:top w:val="none" w:sz="0" w:space="0" w:color="auto"/>
            <w:left w:val="none" w:sz="0" w:space="0" w:color="auto"/>
            <w:bottom w:val="none" w:sz="0" w:space="0" w:color="auto"/>
            <w:right w:val="none" w:sz="0" w:space="0" w:color="auto"/>
          </w:divBdr>
        </w:div>
        <w:div w:id="1272124740">
          <w:marLeft w:val="0"/>
          <w:marRight w:val="0"/>
          <w:marTop w:val="0"/>
          <w:marBottom w:val="0"/>
          <w:divBdr>
            <w:top w:val="none" w:sz="0" w:space="0" w:color="auto"/>
            <w:left w:val="none" w:sz="0" w:space="0" w:color="auto"/>
            <w:bottom w:val="none" w:sz="0" w:space="0" w:color="auto"/>
            <w:right w:val="none" w:sz="0" w:space="0" w:color="auto"/>
          </w:divBdr>
        </w:div>
        <w:div w:id="1869365101">
          <w:marLeft w:val="0"/>
          <w:marRight w:val="0"/>
          <w:marTop w:val="0"/>
          <w:marBottom w:val="0"/>
          <w:divBdr>
            <w:top w:val="none" w:sz="0" w:space="0" w:color="auto"/>
            <w:left w:val="none" w:sz="0" w:space="0" w:color="auto"/>
            <w:bottom w:val="none" w:sz="0" w:space="0" w:color="auto"/>
            <w:right w:val="none" w:sz="0" w:space="0" w:color="auto"/>
          </w:divBdr>
        </w:div>
      </w:divsChild>
    </w:div>
    <w:div w:id="1550336505">
      <w:bodyDiv w:val="1"/>
      <w:marLeft w:val="0"/>
      <w:marRight w:val="0"/>
      <w:marTop w:val="0"/>
      <w:marBottom w:val="0"/>
      <w:divBdr>
        <w:top w:val="none" w:sz="0" w:space="0" w:color="auto"/>
        <w:left w:val="none" w:sz="0" w:space="0" w:color="auto"/>
        <w:bottom w:val="none" w:sz="0" w:space="0" w:color="auto"/>
        <w:right w:val="none" w:sz="0" w:space="0" w:color="auto"/>
      </w:divBdr>
    </w:div>
    <w:div w:id="1625693609">
      <w:bodyDiv w:val="1"/>
      <w:marLeft w:val="0"/>
      <w:marRight w:val="0"/>
      <w:marTop w:val="0"/>
      <w:marBottom w:val="0"/>
      <w:divBdr>
        <w:top w:val="none" w:sz="0" w:space="0" w:color="auto"/>
        <w:left w:val="none" w:sz="0" w:space="0" w:color="auto"/>
        <w:bottom w:val="none" w:sz="0" w:space="0" w:color="auto"/>
        <w:right w:val="none" w:sz="0" w:space="0" w:color="auto"/>
      </w:divBdr>
    </w:div>
    <w:div w:id="1641425797">
      <w:bodyDiv w:val="1"/>
      <w:marLeft w:val="0"/>
      <w:marRight w:val="0"/>
      <w:marTop w:val="0"/>
      <w:marBottom w:val="0"/>
      <w:divBdr>
        <w:top w:val="none" w:sz="0" w:space="0" w:color="auto"/>
        <w:left w:val="none" w:sz="0" w:space="0" w:color="auto"/>
        <w:bottom w:val="none" w:sz="0" w:space="0" w:color="auto"/>
        <w:right w:val="none" w:sz="0" w:space="0" w:color="auto"/>
      </w:divBdr>
    </w:div>
    <w:div w:id="1677536997">
      <w:bodyDiv w:val="1"/>
      <w:marLeft w:val="0"/>
      <w:marRight w:val="0"/>
      <w:marTop w:val="0"/>
      <w:marBottom w:val="0"/>
      <w:divBdr>
        <w:top w:val="none" w:sz="0" w:space="0" w:color="auto"/>
        <w:left w:val="none" w:sz="0" w:space="0" w:color="auto"/>
        <w:bottom w:val="none" w:sz="0" w:space="0" w:color="auto"/>
        <w:right w:val="none" w:sz="0" w:space="0" w:color="auto"/>
      </w:divBdr>
    </w:div>
    <w:div w:id="1718894307">
      <w:bodyDiv w:val="1"/>
      <w:marLeft w:val="0"/>
      <w:marRight w:val="0"/>
      <w:marTop w:val="0"/>
      <w:marBottom w:val="0"/>
      <w:divBdr>
        <w:top w:val="none" w:sz="0" w:space="0" w:color="auto"/>
        <w:left w:val="none" w:sz="0" w:space="0" w:color="auto"/>
        <w:bottom w:val="none" w:sz="0" w:space="0" w:color="auto"/>
        <w:right w:val="none" w:sz="0" w:space="0" w:color="auto"/>
      </w:divBdr>
      <w:divsChild>
        <w:div w:id="1764036548">
          <w:marLeft w:val="0"/>
          <w:marRight w:val="0"/>
          <w:marTop w:val="0"/>
          <w:marBottom w:val="0"/>
          <w:divBdr>
            <w:top w:val="none" w:sz="0" w:space="0" w:color="auto"/>
            <w:left w:val="none" w:sz="0" w:space="0" w:color="auto"/>
            <w:bottom w:val="none" w:sz="0" w:space="0" w:color="auto"/>
            <w:right w:val="none" w:sz="0" w:space="0" w:color="auto"/>
          </w:divBdr>
          <w:divsChild>
            <w:div w:id="317345036">
              <w:marLeft w:val="0"/>
              <w:marRight w:val="0"/>
              <w:marTop w:val="0"/>
              <w:marBottom w:val="0"/>
              <w:divBdr>
                <w:top w:val="none" w:sz="0" w:space="0" w:color="auto"/>
                <w:left w:val="none" w:sz="0" w:space="0" w:color="auto"/>
                <w:bottom w:val="none" w:sz="0" w:space="0" w:color="auto"/>
                <w:right w:val="none" w:sz="0" w:space="0" w:color="auto"/>
              </w:divBdr>
            </w:div>
            <w:div w:id="369427396">
              <w:marLeft w:val="0"/>
              <w:marRight w:val="0"/>
              <w:marTop w:val="0"/>
              <w:marBottom w:val="0"/>
              <w:divBdr>
                <w:top w:val="none" w:sz="0" w:space="0" w:color="auto"/>
                <w:left w:val="none" w:sz="0" w:space="0" w:color="auto"/>
                <w:bottom w:val="none" w:sz="0" w:space="0" w:color="auto"/>
                <w:right w:val="none" w:sz="0" w:space="0" w:color="auto"/>
              </w:divBdr>
            </w:div>
            <w:div w:id="1374229859">
              <w:marLeft w:val="0"/>
              <w:marRight w:val="0"/>
              <w:marTop w:val="0"/>
              <w:marBottom w:val="0"/>
              <w:divBdr>
                <w:top w:val="none" w:sz="0" w:space="0" w:color="auto"/>
                <w:left w:val="none" w:sz="0" w:space="0" w:color="auto"/>
                <w:bottom w:val="none" w:sz="0" w:space="0" w:color="auto"/>
                <w:right w:val="none" w:sz="0" w:space="0" w:color="auto"/>
              </w:divBdr>
            </w:div>
            <w:div w:id="1730155267">
              <w:marLeft w:val="0"/>
              <w:marRight w:val="0"/>
              <w:marTop w:val="0"/>
              <w:marBottom w:val="0"/>
              <w:divBdr>
                <w:top w:val="none" w:sz="0" w:space="0" w:color="auto"/>
                <w:left w:val="none" w:sz="0" w:space="0" w:color="auto"/>
                <w:bottom w:val="none" w:sz="0" w:space="0" w:color="auto"/>
                <w:right w:val="none" w:sz="0" w:space="0" w:color="auto"/>
              </w:divBdr>
            </w:div>
            <w:div w:id="205889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944840">
      <w:bodyDiv w:val="1"/>
      <w:marLeft w:val="0"/>
      <w:marRight w:val="0"/>
      <w:marTop w:val="0"/>
      <w:marBottom w:val="0"/>
      <w:divBdr>
        <w:top w:val="none" w:sz="0" w:space="0" w:color="auto"/>
        <w:left w:val="none" w:sz="0" w:space="0" w:color="auto"/>
        <w:bottom w:val="none" w:sz="0" w:space="0" w:color="auto"/>
        <w:right w:val="none" w:sz="0" w:space="0" w:color="auto"/>
      </w:divBdr>
    </w:div>
    <w:div w:id="1769420831">
      <w:bodyDiv w:val="1"/>
      <w:marLeft w:val="0"/>
      <w:marRight w:val="0"/>
      <w:marTop w:val="0"/>
      <w:marBottom w:val="0"/>
      <w:divBdr>
        <w:top w:val="none" w:sz="0" w:space="0" w:color="auto"/>
        <w:left w:val="none" w:sz="0" w:space="0" w:color="auto"/>
        <w:bottom w:val="none" w:sz="0" w:space="0" w:color="auto"/>
        <w:right w:val="none" w:sz="0" w:space="0" w:color="auto"/>
      </w:divBdr>
      <w:divsChild>
        <w:div w:id="116070113">
          <w:marLeft w:val="562"/>
          <w:marRight w:val="0"/>
          <w:marTop w:val="58"/>
          <w:marBottom w:val="0"/>
          <w:divBdr>
            <w:top w:val="none" w:sz="0" w:space="0" w:color="auto"/>
            <w:left w:val="none" w:sz="0" w:space="0" w:color="auto"/>
            <w:bottom w:val="none" w:sz="0" w:space="0" w:color="auto"/>
            <w:right w:val="none" w:sz="0" w:space="0" w:color="auto"/>
          </w:divBdr>
        </w:div>
        <w:div w:id="511843155">
          <w:marLeft w:val="562"/>
          <w:marRight w:val="0"/>
          <w:marTop w:val="58"/>
          <w:marBottom w:val="0"/>
          <w:divBdr>
            <w:top w:val="none" w:sz="0" w:space="0" w:color="auto"/>
            <w:left w:val="none" w:sz="0" w:space="0" w:color="auto"/>
            <w:bottom w:val="none" w:sz="0" w:space="0" w:color="auto"/>
            <w:right w:val="none" w:sz="0" w:space="0" w:color="auto"/>
          </w:divBdr>
        </w:div>
        <w:div w:id="681203654">
          <w:marLeft w:val="562"/>
          <w:marRight w:val="0"/>
          <w:marTop w:val="58"/>
          <w:marBottom w:val="0"/>
          <w:divBdr>
            <w:top w:val="none" w:sz="0" w:space="0" w:color="auto"/>
            <w:left w:val="none" w:sz="0" w:space="0" w:color="auto"/>
            <w:bottom w:val="none" w:sz="0" w:space="0" w:color="auto"/>
            <w:right w:val="none" w:sz="0" w:space="0" w:color="auto"/>
          </w:divBdr>
        </w:div>
        <w:div w:id="1042708659">
          <w:marLeft w:val="562"/>
          <w:marRight w:val="0"/>
          <w:marTop w:val="58"/>
          <w:marBottom w:val="0"/>
          <w:divBdr>
            <w:top w:val="none" w:sz="0" w:space="0" w:color="auto"/>
            <w:left w:val="none" w:sz="0" w:space="0" w:color="auto"/>
            <w:bottom w:val="none" w:sz="0" w:space="0" w:color="auto"/>
            <w:right w:val="none" w:sz="0" w:space="0" w:color="auto"/>
          </w:divBdr>
        </w:div>
        <w:div w:id="1231773775">
          <w:marLeft w:val="562"/>
          <w:marRight w:val="0"/>
          <w:marTop w:val="58"/>
          <w:marBottom w:val="0"/>
          <w:divBdr>
            <w:top w:val="none" w:sz="0" w:space="0" w:color="auto"/>
            <w:left w:val="none" w:sz="0" w:space="0" w:color="auto"/>
            <w:bottom w:val="none" w:sz="0" w:space="0" w:color="auto"/>
            <w:right w:val="none" w:sz="0" w:space="0" w:color="auto"/>
          </w:divBdr>
        </w:div>
        <w:div w:id="1583641970">
          <w:marLeft w:val="562"/>
          <w:marRight w:val="0"/>
          <w:marTop w:val="58"/>
          <w:marBottom w:val="0"/>
          <w:divBdr>
            <w:top w:val="none" w:sz="0" w:space="0" w:color="auto"/>
            <w:left w:val="none" w:sz="0" w:space="0" w:color="auto"/>
            <w:bottom w:val="none" w:sz="0" w:space="0" w:color="auto"/>
            <w:right w:val="none" w:sz="0" w:space="0" w:color="auto"/>
          </w:divBdr>
        </w:div>
        <w:div w:id="2009207559">
          <w:marLeft w:val="562"/>
          <w:marRight w:val="0"/>
          <w:marTop w:val="58"/>
          <w:marBottom w:val="0"/>
          <w:divBdr>
            <w:top w:val="none" w:sz="0" w:space="0" w:color="auto"/>
            <w:left w:val="none" w:sz="0" w:space="0" w:color="auto"/>
            <w:bottom w:val="none" w:sz="0" w:space="0" w:color="auto"/>
            <w:right w:val="none" w:sz="0" w:space="0" w:color="auto"/>
          </w:divBdr>
        </w:div>
      </w:divsChild>
    </w:div>
    <w:div w:id="1824850508">
      <w:bodyDiv w:val="1"/>
      <w:marLeft w:val="0"/>
      <w:marRight w:val="0"/>
      <w:marTop w:val="0"/>
      <w:marBottom w:val="0"/>
      <w:divBdr>
        <w:top w:val="none" w:sz="0" w:space="0" w:color="auto"/>
        <w:left w:val="none" w:sz="0" w:space="0" w:color="auto"/>
        <w:bottom w:val="none" w:sz="0" w:space="0" w:color="auto"/>
        <w:right w:val="none" w:sz="0" w:space="0" w:color="auto"/>
      </w:divBdr>
    </w:div>
    <w:div w:id="1841114136">
      <w:bodyDiv w:val="1"/>
      <w:marLeft w:val="0"/>
      <w:marRight w:val="0"/>
      <w:marTop w:val="0"/>
      <w:marBottom w:val="0"/>
      <w:divBdr>
        <w:top w:val="none" w:sz="0" w:space="0" w:color="auto"/>
        <w:left w:val="none" w:sz="0" w:space="0" w:color="auto"/>
        <w:bottom w:val="none" w:sz="0" w:space="0" w:color="auto"/>
        <w:right w:val="none" w:sz="0" w:space="0" w:color="auto"/>
      </w:divBdr>
    </w:div>
    <w:div w:id="1860436440">
      <w:bodyDiv w:val="1"/>
      <w:marLeft w:val="0"/>
      <w:marRight w:val="0"/>
      <w:marTop w:val="0"/>
      <w:marBottom w:val="0"/>
      <w:divBdr>
        <w:top w:val="none" w:sz="0" w:space="0" w:color="auto"/>
        <w:left w:val="none" w:sz="0" w:space="0" w:color="auto"/>
        <w:bottom w:val="none" w:sz="0" w:space="0" w:color="auto"/>
        <w:right w:val="none" w:sz="0" w:space="0" w:color="auto"/>
      </w:divBdr>
    </w:div>
    <w:div w:id="1910921284">
      <w:bodyDiv w:val="1"/>
      <w:marLeft w:val="0"/>
      <w:marRight w:val="0"/>
      <w:marTop w:val="0"/>
      <w:marBottom w:val="0"/>
      <w:divBdr>
        <w:top w:val="none" w:sz="0" w:space="0" w:color="auto"/>
        <w:left w:val="none" w:sz="0" w:space="0" w:color="auto"/>
        <w:bottom w:val="none" w:sz="0" w:space="0" w:color="auto"/>
        <w:right w:val="none" w:sz="0" w:space="0" w:color="auto"/>
      </w:divBdr>
    </w:div>
    <w:div w:id="1940218646">
      <w:bodyDiv w:val="1"/>
      <w:marLeft w:val="0"/>
      <w:marRight w:val="0"/>
      <w:marTop w:val="0"/>
      <w:marBottom w:val="0"/>
      <w:divBdr>
        <w:top w:val="none" w:sz="0" w:space="0" w:color="auto"/>
        <w:left w:val="none" w:sz="0" w:space="0" w:color="auto"/>
        <w:bottom w:val="none" w:sz="0" w:space="0" w:color="auto"/>
        <w:right w:val="none" w:sz="0" w:space="0" w:color="auto"/>
      </w:divBdr>
      <w:divsChild>
        <w:div w:id="190651594">
          <w:marLeft w:val="274"/>
          <w:marRight w:val="0"/>
          <w:marTop w:val="0"/>
          <w:marBottom w:val="0"/>
          <w:divBdr>
            <w:top w:val="none" w:sz="0" w:space="0" w:color="auto"/>
            <w:left w:val="none" w:sz="0" w:space="0" w:color="auto"/>
            <w:bottom w:val="none" w:sz="0" w:space="0" w:color="auto"/>
            <w:right w:val="none" w:sz="0" w:space="0" w:color="auto"/>
          </w:divBdr>
        </w:div>
        <w:div w:id="422141069">
          <w:marLeft w:val="274"/>
          <w:marRight w:val="0"/>
          <w:marTop w:val="0"/>
          <w:marBottom w:val="0"/>
          <w:divBdr>
            <w:top w:val="none" w:sz="0" w:space="0" w:color="auto"/>
            <w:left w:val="none" w:sz="0" w:space="0" w:color="auto"/>
            <w:bottom w:val="none" w:sz="0" w:space="0" w:color="auto"/>
            <w:right w:val="none" w:sz="0" w:space="0" w:color="auto"/>
          </w:divBdr>
        </w:div>
        <w:div w:id="1301154184">
          <w:marLeft w:val="274"/>
          <w:marRight w:val="0"/>
          <w:marTop w:val="0"/>
          <w:marBottom w:val="0"/>
          <w:divBdr>
            <w:top w:val="none" w:sz="0" w:space="0" w:color="auto"/>
            <w:left w:val="none" w:sz="0" w:space="0" w:color="auto"/>
            <w:bottom w:val="none" w:sz="0" w:space="0" w:color="auto"/>
            <w:right w:val="none" w:sz="0" w:space="0" w:color="auto"/>
          </w:divBdr>
        </w:div>
        <w:div w:id="1406610034">
          <w:marLeft w:val="274"/>
          <w:marRight w:val="0"/>
          <w:marTop w:val="0"/>
          <w:marBottom w:val="0"/>
          <w:divBdr>
            <w:top w:val="none" w:sz="0" w:space="0" w:color="auto"/>
            <w:left w:val="none" w:sz="0" w:space="0" w:color="auto"/>
            <w:bottom w:val="none" w:sz="0" w:space="0" w:color="auto"/>
            <w:right w:val="none" w:sz="0" w:space="0" w:color="auto"/>
          </w:divBdr>
        </w:div>
        <w:div w:id="1514690025">
          <w:marLeft w:val="274"/>
          <w:marRight w:val="0"/>
          <w:marTop w:val="0"/>
          <w:marBottom w:val="0"/>
          <w:divBdr>
            <w:top w:val="none" w:sz="0" w:space="0" w:color="auto"/>
            <w:left w:val="none" w:sz="0" w:space="0" w:color="auto"/>
            <w:bottom w:val="none" w:sz="0" w:space="0" w:color="auto"/>
            <w:right w:val="none" w:sz="0" w:space="0" w:color="auto"/>
          </w:divBdr>
        </w:div>
      </w:divsChild>
    </w:div>
    <w:div w:id="1949385110">
      <w:bodyDiv w:val="1"/>
      <w:marLeft w:val="0"/>
      <w:marRight w:val="0"/>
      <w:marTop w:val="0"/>
      <w:marBottom w:val="0"/>
      <w:divBdr>
        <w:top w:val="none" w:sz="0" w:space="0" w:color="auto"/>
        <w:left w:val="none" w:sz="0" w:space="0" w:color="auto"/>
        <w:bottom w:val="none" w:sz="0" w:space="0" w:color="auto"/>
        <w:right w:val="none" w:sz="0" w:space="0" w:color="auto"/>
      </w:divBdr>
    </w:div>
    <w:div w:id="1957330084">
      <w:bodyDiv w:val="1"/>
      <w:marLeft w:val="0"/>
      <w:marRight w:val="0"/>
      <w:marTop w:val="0"/>
      <w:marBottom w:val="0"/>
      <w:divBdr>
        <w:top w:val="none" w:sz="0" w:space="0" w:color="auto"/>
        <w:left w:val="none" w:sz="0" w:space="0" w:color="auto"/>
        <w:bottom w:val="none" w:sz="0" w:space="0" w:color="auto"/>
        <w:right w:val="none" w:sz="0" w:space="0" w:color="auto"/>
      </w:divBdr>
    </w:div>
    <w:div w:id="1998653562">
      <w:bodyDiv w:val="1"/>
      <w:marLeft w:val="0"/>
      <w:marRight w:val="0"/>
      <w:marTop w:val="0"/>
      <w:marBottom w:val="0"/>
      <w:divBdr>
        <w:top w:val="none" w:sz="0" w:space="0" w:color="auto"/>
        <w:left w:val="none" w:sz="0" w:space="0" w:color="auto"/>
        <w:bottom w:val="none" w:sz="0" w:space="0" w:color="auto"/>
        <w:right w:val="none" w:sz="0" w:space="0" w:color="auto"/>
      </w:divBdr>
    </w:div>
    <w:div w:id="2002850704">
      <w:bodyDiv w:val="1"/>
      <w:marLeft w:val="0"/>
      <w:marRight w:val="0"/>
      <w:marTop w:val="0"/>
      <w:marBottom w:val="0"/>
      <w:divBdr>
        <w:top w:val="none" w:sz="0" w:space="0" w:color="auto"/>
        <w:left w:val="none" w:sz="0" w:space="0" w:color="auto"/>
        <w:bottom w:val="none" w:sz="0" w:space="0" w:color="auto"/>
        <w:right w:val="none" w:sz="0" w:space="0" w:color="auto"/>
      </w:divBdr>
    </w:div>
    <w:div w:id="2008559384">
      <w:bodyDiv w:val="1"/>
      <w:marLeft w:val="0"/>
      <w:marRight w:val="0"/>
      <w:marTop w:val="0"/>
      <w:marBottom w:val="0"/>
      <w:divBdr>
        <w:top w:val="none" w:sz="0" w:space="0" w:color="auto"/>
        <w:left w:val="none" w:sz="0" w:space="0" w:color="auto"/>
        <w:bottom w:val="none" w:sz="0" w:space="0" w:color="auto"/>
        <w:right w:val="none" w:sz="0" w:space="0" w:color="auto"/>
      </w:divBdr>
    </w:div>
    <w:div w:id="2045716266">
      <w:bodyDiv w:val="1"/>
      <w:marLeft w:val="0"/>
      <w:marRight w:val="0"/>
      <w:marTop w:val="0"/>
      <w:marBottom w:val="0"/>
      <w:divBdr>
        <w:top w:val="none" w:sz="0" w:space="0" w:color="auto"/>
        <w:left w:val="none" w:sz="0" w:space="0" w:color="auto"/>
        <w:bottom w:val="none" w:sz="0" w:space="0" w:color="auto"/>
        <w:right w:val="none" w:sz="0" w:space="0" w:color="auto"/>
      </w:divBdr>
    </w:div>
    <w:div w:id="2055109116">
      <w:bodyDiv w:val="1"/>
      <w:marLeft w:val="0"/>
      <w:marRight w:val="0"/>
      <w:marTop w:val="0"/>
      <w:marBottom w:val="0"/>
      <w:divBdr>
        <w:top w:val="none" w:sz="0" w:space="0" w:color="auto"/>
        <w:left w:val="none" w:sz="0" w:space="0" w:color="auto"/>
        <w:bottom w:val="none" w:sz="0" w:space="0" w:color="auto"/>
        <w:right w:val="none" w:sz="0" w:space="0" w:color="auto"/>
      </w:divBdr>
    </w:div>
    <w:div w:id="2071228157">
      <w:bodyDiv w:val="1"/>
      <w:marLeft w:val="0"/>
      <w:marRight w:val="0"/>
      <w:marTop w:val="0"/>
      <w:marBottom w:val="0"/>
      <w:divBdr>
        <w:top w:val="none" w:sz="0" w:space="0" w:color="auto"/>
        <w:left w:val="none" w:sz="0" w:space="0" w:color="auto"/>
        <w:bottom w:val="none" w:sz="0" w:space="0" w:color="auto"/>
        <w:right w:val="none" w:sz="0" w:space="0" w:color="auto"/>
      </w:divBdr>
    </w:div>
    <w:div w:id="2073111874">
      <w:bodyDiv w:val="1"/>
      <w:marLeft w:val="0"/>
      <w:marRight w:val="0"/>
      <w:marTop w:val="0"/>
      <w:marBottom w:val="0"/>
      <w:divBdr>
        <w:top w:val="none" w:sz="0" w:space="0" w:color="auto"/>
        <w:left w:val="none" w:sz="0" w:space="0" w:color="auto"/>
        <w:bottom w:val="none" w:sz="0" w:space="0" w:color="auto"/>
        <w:right w:val="none" w:sz="0" w:space="0" w:color="auto"/>
      </w:divBdr>
    </w:div>
    <w:div w:id="2078475825">
      <w:bodyDiv w:val="1"/>
      <w:marLeft w:val="0"/>
      <w:marRight w:val="0"/>
      <w:marTop w:val="0"/>
      <w:marBottom w:val="0"/>
      <w:divBdr>
        <w:top w:val="none" w:sz="0" w:space="0" w:color="auto"/>
        <w:left w:val="none" w:sz="0" w:space="0" w:color="auto"/>
        <w:bottom w:val="none" w:sz="0" w:space="0" w:color="auto"/>
        <w:right w:val="none" w:sz="0" w:space="0" w:color="auto"/>
      </w:divBdr>
    </w:div>
    <w:div w:id="2078935286">
      <w:bodyDiv w:val="1"/>
      <w:marLeft w:val="0"/>
      <w:marRight w:val="0"/>
      <w:marTop w:val="0"/>
      <w:marBottom w:val="0"/>
      <w:divBdr>
        <w:top w:val="none" w:sz="0" w:space="0" w:color="auto"/>
        <w:left w:val="none" w:sz="0" w:space="0" w:color="auto"/>
        <w:bottom w:val="none" w:sz="0" w:space="0" w:color="auto"/>
        <w:right w:val="none" w:sz="0" w:space="0" w:color="auto"/>
      </w:divBdr>
      <w:divsChild>
        <w:div w:id="23408113">
          <w:marLeft w:val="0"/>
          <w:marRight w:val="0"/>
          <w:marTop w:val="0"/>
          <w:marBottom w:val="0"/>
          <w:divBdr>
            <w:top w:val="none" w:sz="0" w:space="0" w:color="auto"/>
            <w:left w:val="none" w:sz="0" w:space="0" w:color="auto"/>
            <w:bottom w:val="none" w:sz="0" w:space="0" w:color="auto"/>
            <w:right w:val="none" w:sz="0" w:space="0" w:color="auto"/>
          </w:divBdr>
        </w:div>
      </w:divsChild>
    </w:div>
    <w:div w:id="2080856995">
      <w:bodyDiv w:val="1"/>
      <w:marLeft w:val="0"/>
      <w:marRight w:val="0"/>
      <w:marTop w:val="0"/>
      <w:marBottom w:val="0"/>
      <w:divBdr>
        <w:top w:val="none" w:sz="0" w:space="0" w:color="auto"/>
        <w:left w:val="none" w:sz="0" w:space="0" w:color="auto"/>
        <w:bottom w:val="none" w:sz="0" w:space="0" w:color="auto"/>
        <w:right w:val="none" w:sz="0" w:space="0" w:color="auto"/>
      </w:divBdr>
    </w:div>
    <w:div w:id="2081783439">
      <w:bodyDiv w:val="1"/>
      <w:marLeft w:val="0"/>
      <w:marRight w:val="0"/>
      <w:marTop w:val="0"/>
      <w:marBottom w:val="0"/>
      <w:divBdr>
        <w:top w:val="none" w:sz="0" w:space="0" w:color="auto"/>
        <w:left w:val="none" w:sz="0" w:space="0" w:color="auto"/>
        <w:bottom w:val="none" w:sz="0" w:space="0" w:color="auto"/>
        <w:right w:val="none" w:sz="0" w:space="0" w:color="auto"/>
      </w:divBdr>
    </w:div>
    <w:div w:id="2114936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image" Target="media/image7.jpeg"/><Relationship Id="rId26" Type="http://schemas.openxmlformats.org/officeDocument/2006/relationships/image" Target="media/image15.svg"/><Relationship Id="rId39" Type="http://schemas.openxmlformats.org/officeDocument/2006/relationships/image" Target="media/image28.png"/><Relationship Id="rId21" Type="http://schemas.openxmlformats.org/officeDocument/2006/relationships/image" Target="media/image10.png"/><Relationship Id="rId34" Type="http://schemas.openxmlformats.org/officeDocument/2006/relationships/image" Target="media/image23.svg"/><Relationship Id="rId42" Type="http://schemas.openxmlformats.org/officeDocument/2006/relationships/image" Target="media/image31.svg"/><Relationship Id="rId47" Type="http://schemas.openxmlformats.org/officeDocument/2006/relationships/image" Target="media/image36.png"/><Relationship Id="rId50" Type="http://schemas.openxmlformats.org/officeDocument/2006/relationships/image" Target="media/image360.png"/><Relationship Id="rId55"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image" Target="media/image18.png"/><Relationship Id="rId11" Type="http://schemas.openxmlformats.org/officeDocument/2006/relationships/hyperlink" Target="mailto:consultation.publique@autorite-transports.fr" TargetMode="External"/><Relationship Id="rId24" Type="http://schemas.openxmlformats.org/officeDocument/2006/relationships/image" Target="media/image13.svg"/><Relationship Id="rId32" Type="http://schemas.openxmlformats.org/officeDocument/2006/relationships/image" Target="media/image21.svg"/><Relationship Id="rId37" Type="http://schemas.openxmlformats.org/officeDocument/2006/relationships/image" Target="media/image26.png"/><Relationship Id="rId40" Type="http://schemas.openxmlformats.org/officeDocument/2006/relationships/image" Target="media/image29.svg"/><Relationship Id="rId45" Type="http://schemas.openxmlformats.org/officeDocument/2006/relationships/image" Target="media/image34.png"/><Relationship Id="rId53" Type="http://schemas.openxmlformats.org/officeDocument/2006/relationships/footer" Target="footer1.xml"/><Relationship Id="rId5" Type="http://schemas.openxmlformats.org/officeDocument/2006/relationships/numbering" Target="numbering.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svg"/><Relationship Id="rId27" Type="http://schemas.openxmlformats.org/officeDocument/2006/relationships/image" Target="media/image16.png"/><Relationship Id="rId30" Type="http://schemas.openxmlformats.org/officeDocument/2006/relationships/image" Target="media/image19.svg"/><Relationship Id="rId35" Type="http://schemas.openxmlformats.org/officeDocument/2006/relationships/image" Target="media/image24.png"/><Relationship Id="rId43" Type="http://schemas.openxmlformats.org/officeDocument/2006/relationships/image" Target="media/image32.png"/><Relationship Id="rId48" Type="http://schemas.openxmlformats.org/officeDocument/2006/relationships/image" Target="media/image37.svg"/><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image" Target="media/image370.svg"/><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6.sv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image" Target="media/image27.svg"/><Relationship Id="rId46" Type="http://schemas.openxmlformats.org/officeDocument/2006/relationships/image" Target="media/image35.svg"/><Relationship Id="rId20" Type="http://schemas.openxmlformats.org/officeDocument/2006/relationships/image" Target="media/image9.svg"/><Relationship Id="rId41" Type="http://schemas.openxmlformats.org/officeDocument/2006/relationships/image" Target="media/image30.png"/><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svg"/><Relationship Id="rId23" Type="http://schemas.openxmlformats.org/officeDocument/2006/relationships/image" Target="media/image12.png"/><Relationship Id="rId28" Type="http://schemas.openxmlformats.org/officeDocument/2006/relationships/image" Target="media/image17.svg"/><Relationship Id="rId36" Type="http://schemas.openxmlformats.org/officeDocument/2006/relationships/image" Target="media/image25.svg"/><Relationship Id="rId49" Type="http://schemas.openxmlformats.org/officeDocument/2006/relationships/hyperlink" Target="http://concurrence-ferroviaire.autorite-transports.fr/wp-content/uploads/2022/02/0506-21_ART_RAPPORT-CONCURRENCE_WEB_HD.pdf"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image" Target="media/image20.png"/><Relationship Id="rId44" Type="http://schemas.openxmlformats.org/officeDocument/2006/relationships/image" Target="media/image33.svg"/><Relationship Id="rId52" Type="http://schemas.openxmlformats.org/officeDocument/2006/relationships/hyperlink" Target="http://concurrence-ferroviaire.autorite-transports.fr/wp-content/uploads/2022/02/0506-21_ART_RAPPORT-CONCURRENCE_WEB_HD.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insee.fr/fr/statistiques/7713753" TargetMode="External"/><Relationship Id="rId2" Type="http://schemas.openxmlformats.org/officeDocument/2006/relationships/hyperlink" Target="https://www.strategie.gouv.fr/publications/prospective-2040-2060-transports-mobilites-20-ans-reussir-collectivement-deplacements" TargetMode="External"/><Relationship Id="rId1" Type="http://schemas.openxmlformats.org/officeDocument/2006/relationships/hyperlink" Target="https://www.ecologie.gouv.fr/strategie-nationale-bas-carbone-snbc" TargetMode="External"/><Relationship Id="rId4" Type="http://schemas.openxmlformats.org/officeDocument/2006/relationships/hyperlink" Target="http://www.qualitetransports.gouv.fr/bilan-2022-de-la-qualite-de-service-des-transports-a434.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8.png"/></Relationships>
</file>

<file path=word/theme/theme1.xml><?xml version="1.0" encoding="utf-8"?>
<a:theme xmlns:a="http://schemas.openxmlformats.org/drawingml/2006/main" name="ThèmeART2020_wordppt">
  <a:themeElements>
    <a:clrScheme name="Personnalisé 4">
      <a:dk1>
        <a:sysClr val="windowText" lastClr="000000"/>
      </a:dk1>
      <a:lt1>
        <a:sysClr val="window" lastClr="FFFFFF"/>
      </a:lt1>
      <a:dk2>
        <a:srgbClr val="24356D"/>
      </a:dk2>
      <a:lt2>
        <a:srgbClr val="E7E6E6"/>
      </a:lt2>
      <a:accent1>
        <a:srgbClr val="6C8A99"/>
      </a:accent1>
      <a:accent2>
        <a:srgbClr val="F39200"/>
      </a:accent2>
      <a:accent3>
        <a:srgbClr val="9CC5C4"/>
      </a:accent3>
      <a:accent4>
        <a:srgbClr val="C66C61"/>
      </a:accent4>
      <a:accent5>
        <a:srgbClr val="0084AD"/>
      </a:accent5>
      <a:accent6>
        <a:srgbClr val="815374"/>
      </a:accent6>
      <a:hlink>
        <a:srgbClr val="0563C1"/>
      </a:hlink>
      <a:folHlink>
        <a:srgbClr val="0563C1"/>
      </a:folHlink>
    </a:clrScheme>
    <a:fontScheme name="ART2020_Roboto">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hèmeART2020_wordppt" id="{F19908E4-411D-4B14-B692-7ED650ED6657}" vid="{8BD674CF-2C50-457B-8ECB-CA7C6050002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cc71fe1-9349-44a6-bc3a-1594961b0d0a" xsi:nil="true"/>
    <lcf76f155ced4ddcb4097134ff3c332f xmlns="39dfb4fd-8fca-486f-a419-327f8c83030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FDEDE8EEFE5C747B6031A867F14A975" ma:contentTypeVersion="12" ma:contentTypeDescription="Create a new document." ma:contentTypeScope="" ma:versionID="e99e1afa3157c2773d11d2c015647034">
  <xsd:schema xmlns:xsd="http://www.w3.org/2001/XMLSchema" xmlns:xs="http://www.w3.org/2001/XMLSchema" xmlns:p="http://schemas.microsoft.com/office/2006/metadata/properties" xmlns:ns2="39dfb4fd-8fca-486f-a419-327f8c830309" xmlns:ns3="0cc71fe1-9349-44a6-bc3a-1594961b0d0a" targetNamespace="http://schemas.microsoft.com/office/2006/metadata/properties" ma:root="true" ma:fieldsID="ad67e7b3cc04038803007020871fcf53" ns2:_="" ns3:_="">
    <xsd:import namespace="39dfb4fd-8fca-486f-a419-327f8c830309"/>
    <xsd:import namespace="0cc71fe1-9349-44a6-bc3a-1594961b0d0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dfb4fd-8fca-486f-a419-327f8c8303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16fc492-fc0a-443d-a522-076ee2e51b9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c71fe1-9349-44a6-bc3a-1594961b0d0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878a1b3-aa7d-4818-b528-b180c57a5e06}" ma:internalName="TaxCatchAll" ma:showField="CatchAllData" ma:web="0cc71fe1-9349-44a6-bc3a-1594961b0d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809D3F-E423-455F-AC84-8311B44E0DCF}">
  <ds:schemaRefs>
    <ds:schemaRef ds:uri="http://schemas.microsoft.com/office/2006/metadata/properties"/>
    <ds:schemaRef ds:uri="http://schemas.microsoft.com/office/infopath/2007/PartnerControls"/>
    <ds:schemaRef ds:uri="0cc71fe1-9349-44a6-bc3a-1594961b0d0a"/>
    <ds:schemaRef ds:uri="39dfb4fd-8fca-486f-a419-327f8c830309"/>
  </ds:schemaRefs>
</ds:datastoreItem>
</file>

<file path=customXml/itemProps2.xml><?xml version="1.0" encoding="utf-8"?>
<ds:datastoreItem xmlns:ds="http://schemas.openxmlformats.org/officeDocument/2006/customXml" ds:itemID="{D177D06D-B68B-47A0-8519-6FB7A5B40BD8}">
  <ds:schemaRefs>
    <ds:schemaRef ds:uri="http://schemas.openxmlformats.org/officeDocument/2006/bibliography"/>
  </ds:schemaRefs>
</ds:datastoreItem>
</file>

<file path=customXml/itemProps3.xml><?xml version="1.0" encoding="utf-8"?>
<ds:datastoreItem xmlns:ds="http://schemas.openxmlformats.org/officeDocument/2006/customXml" ds:itemID="{2FB78FF1-559B-44DA-B135-B780C3779103}">
  <ds:schemaRefs>
    <ds:schemaRef ds:uri="http://schemas.microsoft.com/sharepoint/v3/contenttype/forms"/>
  </ds:schemaRefs>
</ds:datastoreItem>
</file>

<file path=customXml/itemProps4.xml><?xml version="1.0" encoding="utf-8"?>
<ds:datastoreItem xmlns:ds="http://schemas.openxmlformats.org/officeDocument/2006/customXml" ds:itemID="{88F27D15-5B69-4769-9CC2-101CDC4F0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dfb4fd-8fca-486f-a419-327f8c830309"/>
    <ds:schemaRef ds:uri="0cc71fe1-9349-44a6-bc3a-1594961b0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4965</Words>
  <Characters>27309</Characters>
  <Application>Microsoft Office Word</Application>
  <DocSecurity>0</DocSecurity>
  <Lines>227</Lines>
  <Paragraphs>64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LALLEMAND-KIRCHE Geneviève</cp:lastModifiedBy>
  <cp:revision>2</cp:revision>
  <cp:lastPrinted>2016-12-20T23:42:00Z</cp:lastPrinted>
  <dcterms:created xsi:type="dcterms:W3CDTF">2024-01-17T17:56:00Z</dcterms:created>
  <dcterms:modified xsi:type="dcterms:W3CDTF">2024-01-17T17:56:00Z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0x0101005FDEDE8EEFE5C747B6031A867F14A975</vt:lpwstr>
  </property>
  <property fmtid="{D5CDD505-2E9C-101B-9397-08002B2CF9AE}" pid="3" name="MediaServiceImageTags">
    <vt:lpwstr/>
  </property>
</Properties>
</file>